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0FE" w:rsidRPr="008070FE" w:rsidRDefault="008070FE" w:rsidP="008070FE">
      <w:pPr>
        <w:tabs>
          <w:tab w:val="left" w:pos="2454"/>
        </w:tabs>
        <w:jc w:val="center"/>
        <w:rPr>
          <w:b/>
          <w:sz w:val="28"/>
          <w:szCs w:val="28"/>
        </w:rPr>
      </w:pPr>
      <w:r w:rsidRPr="008070FE">
        <w:rPr>
          <w:b/>
          <w:sz w:val="28"/>
          <w:szCs w:val="28"/>
        </w:rPr>
        <w:t>PHỤ LỤC</w:t>
      </w:r>
    </w:p>
    <w:p w:rsidR="008070FE" w:rsidRDefault="008070FE" w:rsidP="008070FE">
      <w:pPr>
        <w:jc w:val="center"/>
        <w:rPr>
          <w:b/>
          <w:sz w:val="28"/>
          <w:szCs w:val="28"/>
        </w:rPr>
      </w:pPr>
      <w:r w:rsidRPr="008070FE">
        <w:rPr>
          <w:b/>
          <w:sz w:val="28"/>
          <w:szCs w:val="28"/>
        </w:rPr>
        <w:t>BÁO CÁO THUYẾT MINH CÔNG KHAI SỐ LIỆU QUYẾT TOÁN NGÂN SÁCH THÀNH PHỐ VŨNG TÀU NĂM 202</w:t>
      </w:r>
      <w:r w:rsidR="00292CD4">
        <w:rPr>
          <w:b/>
          <w:sz w:val="28"/>
          <w:szCs w:val="28"/>
        </w:rPr>
        <w:t>3</w:t>
      </w:r>
    </w:p>
    <w:p w:rsidR="008070FE" w:rsidRDefault="008070FE" w:rsidP="008070FE">
      <w:pPr>
        <w:jc w:val="center"/>
        <w:rPr>
          <w:i/>
        </w:rPr>
      </w:pPr>
      <w:r w:rsidRPr="008070FE">
        <w:rPr>
          <w:i/>
        </w:rPr>
        <w:t xml:space="preserve">(Đính kèm Quyết định số           /QĐ-UBND ngày </w:t>
      </w:r>
      <w:r w:rsidR="0013751B">
        <w:rPr>
          <w:i/>
        </w:rPr>
        <w:t xml:space="preserve">    </w:t>
      </w:r>
      <w:r w:rsidRPr="008070FE">
        <w:rPr>
          <w:i/>
        </w:rPr>
        <w:t>/</w:t>
      </w:r>
      <w:r w:rsidR="0013751B">
        <w:rPr>
          <w:i/>
        </w:rPr>
        <w:t xml:space="preserve">      </w:t>
      </w:r>
      <w:r w:rsidRPr="008070FE">
        <w:rPr>
          <w:i/>
        </w:rPr>
        <w:t>/202</w:t>
      </w:r>
      <w:r w:rsidR="0013751B">
        <w:rPr>
          <w:i/>
        </w:rPr>
        <w:t>4</w:t>
      </w:r>
      <w:bookmarkStart w:id="0" w:name="_GoBack"/>
      <w:bookmarkEnd w:id="0"/>
      <w:r w:rsidRPr="008070FE">
        <w:rPr>
          <w:i/>
        </w:rPr>
        <w:t xml:space="preserve"> của UBND thành phố Vũng Tàu )</w:t>
      </w:r>
    </w:p>
    <w:p w:rsidR="00292CD4" w:rsidRPr="00F46DE3" w:rsidRDefault="00292CD4" w:rsidP="00292CD4">
      <w:pPr>
        <w:spacing w:before="100" w:after="100"/>
        <w:ind w:firstLine="720"/>
        <w:rPr>
          <w:i/>
          <w:iCs/>
          <w:sz w:val="28"/>
          <w:szCs w:val="28"/>
        </w:rPr>
      </w:pPr>
      <w:r w:rsidRPr="00F46DE3">
        <w:rPr>
          <w:rStyle w:val="fontstyle01"/>
        </w:rPr>
        <w:t>1. Kết quả thực hiện dự toán thu ngân sách năm 2023.</w:t>
      </w:r>
    </w:p>
    <w:p w:rsidR="00292CD4" w:rsidRPr="00F46DE3" w:rsidRDefault="00292CD4" w:rsidP="00292CD4">
      <w:pPr>
        <w:spacing w:before="100" w:after="100"/>
        <w:ind w:left="720"/>
        <w:rPr>
          <w:rStyle w:val="fontstyle21"/>
        </w:rPr>
      </w:pPr>
      <w:r w:rsidRPr="00F46DE3">
        <w:rPr>
          <w:rStyle w:val="fontstyle01"/>
        </w:rPr>
        <w:t>1.1. Thu ngân sách Nhà nước</w:t>
      </w:r>
      <w:r w:rsidRPr="00F46DE3">
        <w:rPr>
          <w:rStyle w:val="fontstyle21"/>
          <w:i w:val="0"/>
          <w:iCs w:val="0"/>
        </w:rPr>
        <w:t>:</w:t>
      </w:r>
    </w:p>
    <w:p w:rsidR="00292CD4" w:rsidRPr="00F46DE3" w:rsidRDefault="00292CD4" w:rsidP="00292CD4">
      <w:pPr>
        <w:spacing w:before="100" w:after="100"/>
        <w:ind w:firstLine="720"/>
        <w:jc w:val="both"/>
        <w:outlineLvl w:val="0"/>
        <w:rPr>
          <w:spacing w:val="-2"/>
          <w:w w:val="95"/>
          <w:sz w:val="28"/>
          <w:szCs w:val="28"/>
          <w:lang w:val="pt-BR"/>
        </w:rPr>
      </w:pPr>
      <w:r w:rsidRPr="00F46DE3">
        <w:rPr>
          <w:spacing w:val="-2"/>
          <w:w w:val="95"/>
          <w:sz w:val="28"/>
          <w:szCs w:val="28"/>
          <w:lang w:val="pt-BR"/>
        </w:rPr>
        <w:t>Tổng thu NSNN thực hiện năm 2023 là 7.930,092 tỷ/</w:t>
      </w:r>
      <w:r w:rsidRPr="00F46DE3">
        <w:rPr>
          <w:bCs/>
          <w:spacing w:val="-2"/>
          <w:sz w:val="27"/>
          <w:szCs w:val="27"/>
          <w:lang w:val="nl-NL"/>
        </w:rPr>
        <w:t>4.184,636 tỷ đồng</w:t>
      </w:r>
      <w:r w:rsidRPr="00F46DE3">
        <w:rPr>
          <w:spacing w:val="-2"/>
          <w:w w:val="95"/>
          <w:sz w:val="28"/>
          <w:szCs w:val="28"/>
          <w:lang w:val="pt-BR"/>
        </w:rPr>
        <w:t>, đạt 190% so với dự toán tỉnh giao, bằng 166% dự toán thành phố xây dựng (</w:t>
      </w:r>
      <w:r w:rsidRPr="00F46DE3">
        <w:rPr>
          <w:i/>
          <w:spacing w:val="-2"/>
          <w:w w:val="95"/>
          <w:sz w:val="28"/>
          <w:szCs w:val="28"/>
          <w:lang w:val="pt-BR"/>
        </w:rPr>
        <w:t>7.326,755 tỷ/</w:t>
      </w:r>
      <w:r w:rsidRPr="00F46DE3">
        <w:rPr>
          <w:bCs/>
          <w:i/>
          <w:iCs/>
          <w:spacing w:val="-2"/>
          <w:sz w:val="27"/>
          <w:szCs w:val="27"/>
          <w:lang w:val="nl-NL"/>
        </w:rPr>
        <w:t>4.778,041 tỷ đồng</w:t>
      </w:r>
      <w:r w:rsidRPr="00F46DE3">
        <w:rPr>
          <w:spacing w:val="-2"/>
          <w:w w:val="95"/>
          <w:sz w:val="28"/>
          <w:szCs w:val="28"/>
          <w:lang w:val="pt-BR"/>
        </w:rPr>
        <w:t>), đạt 108% so với cùng kỳ (</w:t>
      </w:r>
      <w:r w:rsidRPr="00F46DE3">
        <w:rPr>
          <w:i/>
          <w:iCs/>
          <w:spacing w:val="-2"/>
          <w:w w:val="95"/>
          <w:sz w:val="28"/>
          <w:szCs w:val="28"/>
          <w:lang w:val="pt-BR"/>
        </w:rPr>
        <w:t>7.930,092 tỷ/</w:t>
      </w:r>
      <w:r w:rsidRPr="00F46DE3">
        <w:rPr>
          <w:bCs/>
          <w:i/>
          <w:iCs/>
          <w:spacing w:val="-2"/>
          <w:sz w:val="27"/>
          <w:szCs w:val="27"/>
          <w:lang w:val="nl-NL"/>
        </w:rPr>
        <w:t>7,326.755 tỷ đồng</w:t>
      </w:r>
      <w:r w:rsidRPr="00F46DE3">
        <w:rPr>
          <w:bCs/>
          <w:spacing w:val="-2"/>
          <w:sz w:val="27"/>
          <w:szCs w:val="27"/>
          <w:lang w:val="nl-NL"/>
        </w:rPr>
        <w:t>)</w:t>
      </w:r>
      <w:r w:rsidRPr="00F46DE3">
        <w:rPr>
          <w:spacing w:val="-2"/>
          <w:w w:val="95"/>
          <w:sz w:val="28"/>
          <w:szCs w:val="28"/>
          <w:lang w:val="pt-BR"/>
        </w:rPr>
        <w:t xml:space="preserve"> (</w:t>
      </w:r>
      <w:r w:rsidRPr="00F46DE3">
        <w:rPr>
          <w:rStyle w:val="fontstyle21"/>
          <w:spacing w:val="-2"/>
        </w:rPr>
        <w:t>Trong đó bao gồm số thu bổ sung từ ngân sách cấp trên là 341,734 tỷ đồng, số bổ sung mục tiêu từ NS tỉnh là 189,101 tỷ đồng; số thu kết dư là 1.155,374 tỷ đồng; số thu chuyển nguồn là 684,351 tỷ đồng; số thu cấp dưới nộp lên là 168,291 tỷ đồng) và thu từ hoạt động xuất nhập khẩu 1.292,233 tỷ đồng</w:t>
      </w:r>
      <w:r w:rsidRPr="00F46DE3">
        <w:rPr>
          <w:spacing w:val="-2"/>
          <w:w w:val="95"/>
          <w:sz w:val="28"/>
          <w:szCs w:val="28"/>
          <w:lang w:val="pt-BR"/>
        </w:rPr>
        <w:t xml:space="preserve">). Trong đó: </w:t>
      </w:r>
    </w:p>
    <w:p w:rsidR="00292CD4" w:rsidRPr="00F46DE3" w:rsidRDefault="00292CD4" w:rsidP="00292CD4">
      <w:pPr>
        <w:spacing w:before="100" w:after="100"/>
        <w:ind w:firstLine="720"/>
        <w:jc w:val="both"/>
        <w:outlineLvl w:val="0"/>
        <w:rPr>
          <w:spacing w:val="-2"/>
          <w:w w:val="95"/>
          <w:sz w:val="28"/>
          <w:szCs w:val="28"/>
          <w:lang w:val="pt-BR"/>
        </w:rPr>
      </w:pPr>
      <w:r w:rsidRPr="00F46DE3">
        <w:rPr>
          <w:spacing w:val="-2"/>
          <w:w w:val="95"/>
          <w:sz w:val="28"/>
          <w:szCs w:val="28"/>
          <w:lang w:val="pt-BR"/>
        </w:rPr>
        <w:t>Số thu sắc thuế thực hiện năm 2023 là 5.528,428 tỷ/3.999,200 tỷ đồng, đạt 138% dự toán tỉnh giao, đạt 104% so với cùng kỳ (</w:t>
      </w:r>
      <w:r w:rsidRPr="00F46DE3">
        <w:rPr>
          <w:i/>
          <w:iCs/>
          <w:spacing w:val="-2"/>
          <w:w w:val="95"/>
          <w:sz w:val="28"/>
          <w:szCs w:val="28"/>
          <w:lang w:val="pt-BR"/>
        </w:rPr>
        <w:t>5.528,428 tỷ/</w:t>
      </w:r>
      <w:r w:rsidRPr="00F46DE3">
        <w:rPr>
          <w:bCs/>
          <w:i/>
          <w:iCs/>
          <w:spacing w:val="-2"/>
          <w:sz w:val="28"/>
          <w:szCs w:val="28"/>
          <w:lang w:val="nl-NL"/>
        </w:rPr>
        <w:t>5.313,322 tỷ đồng</w:t>
      </w:r>
      <w:r w:rsidRPr="00F46DE3">
        <w:rPr>
          <w:bCs/>
          <w:spacing w:val="-2"/>
          <w:sz w:val="28"/>
          <w:szCs w:val="28"/>
          <w:lang w:val="nl-NL"/>
        </w:rPr>
        <w:t>)</w:t>
      </w:r>
      <w:r w:rsidRPr="00F46DE3">
        <w:rPr>
          <w:spacing w:val="-2"/>
          <w:w w:val="95"/>
          <w:sz w:val="28"/>
          <w:szCs w:val="28"/>
          <w:lang w:val="pt-BR"/>
        </w:rPr>
        <w:t xml:space="preserve">  (</w:t>
      </w:r>
      <w:r w:rsidRPr="00F46DE3">
        <w:rPr>
          <w:i/>
          <w:spacing w:val="-2"/>
          <w:w w:val="95"/>
          <w:sz w:val="28"/>
          <w:szCs w:val="28"/>
          <w:lang w:val="pt-BR"/>
        </w:rPr>
        <w:t>Nếu loại trừ tiền sử dụng đất thì số thu thuế đạt 5.230,102 tỷ/3.699,200 tỷ đồng, đạt 141%</w:t>
      </w:r>
      <w:r w:rsidRPr="00F46DE3">
        <w:rPr>
          <w:spacing w:val="-2"/>
          <w:w w:val="95"/>
          <w:sz w:val="28"/>
          <w:szCs w:val="28"/>
          <w:lang w:val="pt-BR"/>
        </w:rPr>
        <w:t>),</w:t>
      </w:r>
    </w:p>
    <w:p w:rsidR="00292CD4" w:rsidRPr="00F46DE3" w:rsidRDefault="00292CD4" w:rsidP="00292CD4">
      <w:pPr>
        <w:spacing w:before="100" w:after="100"/>
        <w:ind w:firstLine="720"/>
        <w:rPr>
          <w:b/>
          <w:bCs/>
          <w:sz w:val="28"/>
          <w:szCs w:val="28"/>
        </w:rPr>
      </w:pPr>
      <w:r w:rsidRPr="00F46DE3">
        <w:rPr>
          <w:rStyle w:val="fontstyle01"/>
        </w:rPr>
        <w:t>* Một số khoản thu đạt và vượt chỉ tiêu:</w:t>
      </w:r>
    </w:p>
    <w:p w:rsidR="00292CD4" w:rsidRPr="00F46DE3" w:rsidRDefault="00292CD4" w:rsidP="00292CD4">
      <w:pPr>
        <w:tabs>
          <w:tab w:val="left" w:pos="9090"/>
        </w:tabs>
        <w:spacing w:before="100" w:after="100"/>
        <w:ind w:firstLine="720"/>
        <w:jc w:val="both"/>
        <w:rPr>
          <w:bCs/>
          <w:sz w:val="28"/>
          <w:szCs w:val="28"/>
          <w:lang w:val="nl-NL"/>
        </w:rPr>
      </w:pPr>
      <w:r w:rsidRPr="00F46DE3">
        <w:rPr>
          <w:rStyle w:val="fontstyle31"/>
        </w:rPr>
        <w:t xml:space="preserve">- Thu từ khu vực ngoài quốc doanh: Thực hiện năm 2023 đạt 2.515,992 tỷ/2.061,200 tỷ đồng bằng 122% so với kế hoạch tỉnh giao, </w:t>
      </w:r>
      <w:r w:rsidRPr="00F46DE3">
        <w:rPr>
          <w:rStyle w:val="fontstyle01"/>
        </w:rPr>
        <w:t>ước tăng số tuyệt đối là 454,792 tỷ đồng</w:t>
      </w:r>
      <w:r w:rsidRPr="00F46DE3">
        <w:rPr>
          <w:rStyle w:val="fontstyle31"/>
        </w:rPr>
        <w:t>. Trong đó: (</w:t>
      </w:r>
      <w:r w:rsidRPr="00F46DE3">
        <w:rPr>
          <w:bCs/>
          <w:i/>
          <w:spacing w:val="-4"/>
          <w:sz w:val="28"/>
          <w:szCs w:val="28"/>
          <w:lang w:val="nl-NL"/>
        </w:rPr>
        <w:t>Thuế giá trị gia tăng 1.625,461 tỷ/1.262,600 tỷ đồng đạt 129% kế hoạch so với tỉnh giao; Thuế thu nhập doanh nghiệp 867,142 tỷ/786,100</w:t>
      </w:r>
      <w:r w:rsidRPr="00F46DE3">
        <w:rPr>
          <w:bCs/>
          <w:i/>
          <w:spacing w:val="-4"/>
          <w:sz w:val="28"/>
          <w:szCs w:val="28"/>
          <w:lang w:val="vi-VN"/>
        </w:rPr>
        <w:t xml:space="preserve"> </w:t>
      </w:r>
      <w:r w:rsidRPr="00F46DE3">
        <w:rPr>
          <w:bCs/>
          <w:i/>
          <w:spacing w:val="-4"/>
          <w:sz w:val="28"/>
          <w:szCs w:val="28"/>
          <w:lang w:val="nl-NL"/>
        </w:rPr>
        <w:t>tỷ, đạt 110% kế hoạch so với tỉnh giao; Thuế tiêu thụ đặc biệt 22,355 tỷ/9,700 tỷ đồng, đạt 230% kế hoạch so với tỉnh giao).</w:t>
      </w:r>
      <w:r w:rsidRPr="00F46DE3">
        <w:rPr>
          <w:bCs/>
          <w:sz w:val="28"/>
          <w:szCs w:val="28"/>
          <w:lang w:val="nl-NL"/>
        </w:rPr>
        <w:t xml:space="preserve"> Một số khoản thu </w:t>
      </w:r>
      <w:r w:rsidRPr="00F46DE3">
        <w:rPr>
          <w:bCs/>
          <w:sz w:val="28"/>
          <w:szCs w:val="28"/>
          <w:lang w:val="vi-VN"/>
        </w:rPr>
        <w:t xml:space="preserve">thuế </w:t>
      </w:r>
      <w:r w:rsidRPr="00F46DE3">
        <w:rPr>
          <w:bCs/>
          <w:sz w:val="28"/>
          <w:szCs w:val="28"/>
          <w:lang w:val="nl-NL"/>
        </w:rPr>
        <w:t xml:space="preserve">chiếm tỷ trọng lớn trong tổng thu </w:t>
      </w:r>
      <w:r w:rsidRPr="00F46DE3">
        <w:rPr>
          <w:bCs/>
          <w:sz w:val="28"/>
          <w:szCs w:val="28"/>
          <w:lang w:val="vi-VN"/>
        </w:rPr>
        <w:t>của thành phố</w:t>
      </w:r>
      <w:r w:rsidRPr="00F46DE3">
        <w:rPr>
          <w:bCs/>
          <w:sz w:val="28"/>
          <w:szCs w:val="28"/>
          <w:lang w:val="nl-NL"/>
        </w:rPr>
        <w:t xml:space="preserve"> thực hiện đạt và vượt dự toán chủ yếu thu từ các hoạt động sản xuất kinh doanh.</w:t>
      </w:r>
    </w:p>
    <w:p w:rsidR="00292CD4" w:rsidRPr="00F46DE3" w:rsidRDefault="00292CD4" w:rsidP="00292CD4">
      <w:pPr>
        <w:spacing w:before="100" w:after="100"/>
        <w:ind w:firstLine="720"/>
        <w:jc w:val="both"/>
        <w:rPr>
          <w:rStyle w:val="fontstyle31"/>
        </w:rPr>
      </w:pPr>
      <w:r w:rsidRPr="00F46DE3">
        <w:rPr>
          <w:rStyle w:val="fontstyle31"/>
        </w:rPr>
        <w:t>+ Thu từ DN ĐP: Thực hiện là 14,665 tỷ/7,000 tỷ đồng, đạt 210%.</w:t>
      </w:r>
    </w:p>
    <w:p w:rsidR="00292CD4" w:rsidRPr="00F46DE3" w:rsidRDefault="00292CD4" w:rsidP="00292CD4">
      <w:pPr>
        <w:spacing w:before="100" w:after="100"/>
        <w:ind w:firstLine="720"/>
        <w:jc w:val="both"/>
        <w:rPr>
          <w:rStyle w:val="fontstyle31"/>
        </w:rPr>
      </w:pPr>
      <w:r w:rsidRPr="00F46DE3">
        <w:rPr>
          <w:rStyle w:val="fontstyle31"/>
        </w:rPr>
        <w:t>+ Thu từ DN đầu tư NN: Thực hiện là 8,561 tỷ/8,000 tỷ đồng, đạt 107%.</w:t>
      </w:r>
    </w:p>
    <w:p w:rsidR="00292CD4" w:rsidRPr="00F46DE3" w:rsidRDefault="00292CD4" w:rsidP="00292CD4">
      <w:pPr>
        <w:spacing w:before="100" w:after="100"/>
        <w:ind w:firstLine="720"/>
        <w:jc w:val="both"/>
        <w:rPr>
          <w:i/>
          <w:spacing w:val="3"/>
          <w:sz w:val="28"/>
          <w:szCs w:val="28"/>
          <w:shd w:val="clear" w:color="auto" w:fill="FFFFFF"/>
        </w:rPr>
      </w:pPr>
      <w:r w:rsidRPr="00F46DE3">
        <w:rPr>
          <w:bCs/>
          <w:sz w:val="28"/>
          <w:szCs w:val="28"/>
          <w:lang w:val="nl-NL"/>
        </w:rPr>
        <w:t xml:space="preserve">+ Thu thuế thu nhập cá nhân: </w:t>
      </w:r>
      <w:r w:rsidRPr="00F46DE3">
        <w:rPr>
          <w:bCs/>
          <w:sz w:val="28"/>
          <w:szCs w:val="28"/>
        </w:rPr>
        <w:t xml:space="preserve">Số thực hiện </w:t>
      </w:r>
      <w:r>
        <w:rPr>
          <w:bCs/>
          <w:sz w:val="28"/>
          <w:szCs w:val="28"/>
        </w:rPr>
        <w:t xml:space="preserve">là </w:t>
      </w:r>
      <w:r w:rsidRPr="00F46DE3">
        <w:rPr>
          <w:bCs/>
          <w:sz w:val="28"/>
          <w:szCs w:val="28"/>
          <w:lang w:val="nl-NL"/>
        </w:rPr>
        <w:t>261,889 tỷ/250,000 tỷ đồng, đạt 105% so với kế hoạch tỉnh giao.</w:t>
      </w:r>
    </w:p>
    <w:p w:rsidR="00292CD4" w:rsidRPr="00F46DE3" w:rsidRDefault="00292CD4" w:rsidP="00292CD4">
      <w:pPr>
        <w:tabs>
          <w:tab w:val="left" w:pos="9090"/>
        </w:tabs>
        <w:spacing w:before="100" w:after="100"/>
        <w:ind w:firstLine="720"/>
        <w:jc w:val="both"/>
        <w:rPr>
          <w:bCs/>
          <w:sz w:val="28"/>
          <w:szCs w:val="28"/>
          <w:lang w:val="nl-NL"/>
        </w:rPr>
      </w:pPr>
      <w:r w:rsidRPr="00F46DE3">
        <w:rPr>
          <w:bCs/>
          <w:sz w:val="28"/>
          <w:szCs w:val="28"/>
          <w:lang w:val="nl-NL"/>
        </w:rPr>
        <w:t xml:space="preserve">+ Thu thuế sử dụng đất phi nông nghiệp: Số thực hiện là 69,451 tỷ/34,000 tỷ đồng và bằng 204% so với kế hoạch tỉnh giao. </w:t>
      </w:r>
      <w:r w:rsidRPr="00F46DE3">
        <w:rPr>
          <w:bCs/>
          <w:iCs/>
          <w:spacing w:val="-4"/>
          <w:sz w:val="28"/>
          <w:szCs w:val="28"/>
          <w:lang w:val="nl-NL"/>
        </w:rPr>
        <w:t>Do số tăng thu gồm số thu hộ gia đình, cá nhân theo bộ trong năm.</w:t>
      </w:r>
    </w:p>
    <w:p w:rsidR="00292CD4" w:rsidRPr="00F46DE3" w:rsidRDefault="00292CD4" w:rsidP="00292CD4">
      <w:pPr>
        <w:tabs>
          <w:tab w:val="left" w:pos="1710"/>
          <w:tab w:val="left" w:pos="9090"/>
        </w:tabs>
        <w:spacing w:before="100" w:after="100"/>
        <w:ind w:firstLine="720"/>
        <w:jc w:val="both"/>
        <w:rPr>
          <w:bCs/>
          <w:sz w:val="28"/>
          <w:szCs w:val="28"/>
          <w:lang w:val="nl-NL"/>
        </w:rPr>
      </w:pPr>
      <w:r w:rsidRPr="00F46DE3">
        <w:rPr>
          <w:bCs/>
          <w:sz w:val="28"/>
          <w:szCs w:val="28"/>
          <w:lang w:val="nl-NL"/>
        </w:rPr>
        <w:t>+ Thu phí, lệ phí: Số thực hiện là 61,306 tỷ/38,000 tỷ đồng và bằng 161% so với kế hoạch tỉnh giao.</w:t>
      </w:r>
    </w:p>
    <w:p w:rsidR="00292CD4" w:rsidRPr="00F46DE3" w:rsidRDefault="00292CD4" w:rsidP="00292CD4">
      <w:pPr>
        <w:tabs>
          <w:tab w:val="left" w:pos="9090"/>
        </w:tabs>
        <w:spacing w:before="100" w:after="100"/>
        <w:ind w:firstLine="720"/>
        <w:jc w:val="both"/>
        <w:rPr>
          <w:bCs/>
          <w:sz w:val="28"/>
          <w:szCs w:val="28"/>
          <w:lang w:val="nl-NL"/>
        </w:rPr>
      </w:pPr>
      <w:r w:rsidRPr="00F46DE3">
        <w:rPr>
          <w:bCs/>
          <w:sz w:val="28"/>
          <w:szCs w:val="28"/>
          <w:lang w:val="nl-NL"/>
        </w:rPr>
        <w:t xml:space="preserve">+ Thuế Bảo vệ môi trường: </w:t>
      </w:r>
      <w:r w:rsidRPr="00F46DE3">
        <w:rPr>
          <w:bCs/>
          <w:sz w:val="28"/>
          <w:szCs w:val="28"/>
        </w:rPr>
        <w:t xml:space="preserve">Số thực hiện </w:t>
      </w:r>
      <w:r w:rsidRPr="00F46DE3">
        <w:rPr>
          <w:bCs/>
          <w:sz w:val="28"/>
          <w:szCs w:val="28"/>
          <w:lang w:val="nl-NL"/>
        </w:rPr>
        <w:t>là 37,151 tỷ/0,500 tỷ đồng bằng 7.428% so với kế hoạch tỉnh giao,</w:t>
      </w:r>
      <w:r w:rsidRPr="00F46DE3">
        <w:rPr>
          <w:bCs/>
          <w:spacing w:val="-4"/>
          <w:sz w:val="28"/>
          <w:szCs w:val="28"/>
          <w:lang w:val="nl-NL"/>
        </w:rPr>
        <w:t xml:space="preserve"> </w:t>
      </w:r>
      <w:r w:rsidRPr="00F46DE3">
        <w:rPr>
          <w:bCs/>
          <w:sz w:val="28"/>
          <w:szCs w:val="28"/>
          <w:lang w:val="nl-NL"/>
        </w:rPr>
        <w:t>do 02 công ty nộp tiền trong năm 2023 đối với mặt hàng xăng dầu.</w:t>
      </w:r>
    </w:p>
    <w:p w:rsidR="00292CD4" w:rsidRPr="00F46DE3" w:rsidRDefault="00292CD4" w:rsidP="00292CD4">
      <w:pPr>
        <w:tabs>
          <w:tab w:val="left" w:pos="9090"/>
        </w:tabs>
        <w:spacing w:before="100" w:after="100"/>
        <w:ind w:firstLine="720"/>
        <w:jc w:val="both"/>
        <w:rPr>
          <w:bCs/>
          <w:sz w:val="28"/>
          <w:szCs w:val="28"/>
          <w:lang w:val="nl-NL"/>
        </w:rPr>
      </w:pPr>
      <w:r w:rsidRPr="00F46DE3">
        <w:rPr>
          <w:bCs/>
          <w:sz w:val="28"/>
          <w:szCs w:val="28"/>
          <w:lang w:val="vi-VN"/>
        </w:rPr>
        <w:lastRenderedPageBreak/>
        <w:t xml:space="preserve">+ </w:t>
      </w:r>
      <w:r w:rsidRPr="00F46DE3">
        <w:rPr>
          <w:bCs/>
          <w:sz w:val="28"/>
          <w:szCs w:val="28"/>
          <w:lang w:val="nl-NL"/>
        </w:rPr>
        <w:t>Các khoản thu khác: Số thực hiện là 106,310 tỷ/48,131 tỷ đồng, bằng 221% so với dự toán tỉnh giao, nguyên nhân do tăng các khoản thu tiền phạt; thu thanh lý tài sản, sung công; thu hồi các khoản chi năm trước; thu cho thuê tài sản, thu khác còn lại.</w:t>
      </w:r>
    </w:p>
    <w:p w:rsidR="00292CD4" w:rsidRPr="00F46DE3" w:rsidRDefault="00292CD4" w:rsidP="00292CD4">
      <w:pPr>
        <w:tabs>
          <w:tab w:val="left" w:pos="9090"/>
        </w:tabs>
        <w:spacing w:before="100" w:after="100"/>
        <w:ind w:firstLine="720"/>
        <w:jc w:val="both"/>
        <w:rPr>
          <w:bCs/>
          <w:sz w:val="28"/>
          <w:szCs w:val="28"/>
          <w:lang w:val="nl-NL"/>
        </w:rPr>
      </w:pPr>
      <w:r w:rsidRPr="00F46DE3">
        <w:rPr>
          <w:bCs/>
          <w:sz w:val="28"/>
          <w:szCs w:val="28"/>
          <w:lang w:val="nl-NL"/>
        </w:rPr>
        <w:t>+ Thu khoản hỗ trợ di dời tượng đài dầu khí do Liên doanh Việt - Nga Vietsopetro nộp 5,058 tỷ đồng.</w:t>
      </w:r>
    </w:p>
    <w:p w:rsidR="00292CD4" w:rsidRPr="00F46DE3" w:rsidRDefault="00292CD4" w:rsidP="00292CD4">
      <w:pPr>
        <w:spacing w:before="100" w:after="100"/>
        <w:ind w:firstLine="720"/>
        <w:rPr>
          <w:b/>
          <w:bCs/>
          <w:sz w:val="28"/>
          <w:szCs w:val="28"/>
        </w:rPr>
      </w:pPr>
      <w:r w:rsidRPr="00F46DE3">
        <w:rPr>
          <w:rStyle w:val="fontstyle01"/>
        </w:rPr>
        <w:t>* Một số khoản thu ngân sách lớn không đạt chỉ tiêu.</w:t>
      </w:r>
    </w:p>
    <w:p w:rsidR="00292CD4" w:rsidRPr="00F46DE3" w:rsidRDefault="00292CD4" w:rsidP="00292CD4">
      <w:pPr>
        <w:tabs>
          <w:tab w:val="left" w:pos="9090"/>
        </w:tabs>
        <w:spacing w:before="100" w:after="100"/>
        <w:ind w:firstLine="720"/>
        <w:jc w:val="both"/>
        <w:rPr>
          <w:bCs/>
          <w:sz w:val="28"/>
          <w:szCs w:val="28"/>
          <w:lang w:val="nl-NL"/>
        </w:rPr>
      </w:pPr>
      <w:r w:rsidRPr="00F46DE3">
        <w:rPr>
          <w:bCs/>
          <w:sz w:val="28"/>
          <w:szCs w:val="28"/>
          <w:lang w:val="nl-NL"/>
        </w:rPr>
        <w:t xml:space="preserve">- Lệ phí trước bạ: </w:t>
      </w:r>
      <w:r w:rsidRPr="00F46DE3">
        <w:rPr>
          <w:bCs/>
          <w:sz w:val="28"/>
          <w:szCs w:val="28"/>
        </w:rPr>
        <w:t xml:space="preserve">Số thực hiện </w:t>
      </w:r>
      <w:r w:rsidRPr="00F46DE3">
        <w:rPr>
          <w:bCs/>
          <w:sz w:val="28"/>
          <w:szCs w:val="28"/>
          <w:lang w:val="nl-NL"/>
        </w:rPr>
        <w:t xml:space="preserve">là 233,267 tỷ/280,000 tỷ đồng bằng 83% so với kế hoạch tỉnh giao; do thị trường bất động sản không </w:t>
      </w:r>
      <w:r>
        <w:rPr>
          <w:bCs/>
          <w:sz w:val="28"/>
          <w:szCs w:val="28"/>
          <w:lang w:val="nl-NL"/>
        </w:rPr>
        <w:t>còn sôi động</w:t>
      </w:r>
      <w:r w:rsidRPr="00F46DE3">
        <w:rPr>
          <w:bCs/>
          <w:sz w:val="28"/>
          <w:szCs w:val="28"/>
          <w:lang w:val="nl-NL"/>
        </w:rPr>
        <w:t xml:space="preserve"> như năm 2022 nên các doanh nghiệp kinh doanh bất động sản, xây dựng và hạ tầng giảm lợi nhuận và các khoản thu liên quan đến bất động sản như: Thuế TNCN từ chuyển nhượng bất động sản, Lệ phí trước bạ nhà đất, tiền sử dụng đất...nộp ngân sách nhà nước giảm so với cùng kỳ.</w:t>
      </w:r>
    </w:p>
    <w:p w:rsidR="00292CD4" w:rsidRPr="00F46DE3" w:rsidRDefault="00292CD4" w:rsidP="00292CD4">
      <w:pPr>
        <w:tabs>
          <w:tab w:val="left" w:pos="1710"/>
          <w:tab w:val="left" w:pos="9090"/>
        </w:tabs>
        <w:spacing w:before="100" w:after="100"/>
        <w:ind w:firstLine="720"/>
        <w:jc w:val="both"/>
        <w:rPr>
          <w:bCs/>
          <w:sz w:val="28"/>
          <w:szCs w:val="28"/>
          <w:lang w:val="nl-NL"/>
        </w:rPr>
      </w:pPr>
      <w:r w:rsidRPr="00F46DE3">
        <w:rPr>
          <w:bCs/>
          <w:sz w:val="28"/>
          <w:szCs w:val="28"/>
          <w:lang w:val="nl-NL"/>
        </w:rPr>
        <w:t xml:space="preserve">+ Thu tiền cho thuê đất: Số thực hiện là 662,722 tỷ/680,600 tỷ đồng và bằng 97% so với kế hoạch tỉnh giao; </w:t>
      </w:r>
      <w:r w:rsidRPr="00F46DE3">
        <w:rPr>
          <w:spacing w:val="3"/>
          <w:sz w:val="28"/>
          <w:szCs w:val="28"/>
          <w:shd w:val="clear" w:color="auto" w:fill="FFFFFF"/>
        </w:rPr>
        <w:t>do giảm 30% tiền thuê đất của năm 2022 và chưa thu được tiền thuê đất của các doanh nghiệp Bãi Sau (thu nợ).</w:t>
      </w:r>
    </w:p>
    <w:p w:rsidR="00292CD4" w:rsidRPr="00F46DE3" w:rsidRDefault="00292CD4" w:rsidP="00292CD4">
      <w:pPr>
        <w:tabs>
          <w:tab w:val="left" w:pos="9090"/>
        </w:tabs>
        <w:spacing w:before="100" w:after="100"/>
        <w:ind w:firstLine="720"/>
        <w:jc w:val="both"/>
        <w:rPr>
          <w:bCs/>
          <w:sz w:val="28"/>
          <w:szCs w:val="28"/>
          <w:lang w:val="nl-NL"/>
        </w:rPr>
      </w:pPr>
      <w:r w:rsidRPr="00F46DE3">
        <w:rPr>
          <w:bCs/>
          <w:sz w:val="28"/>
          <w:szCs w:val="28"/>
          <w:lang w:val="nl-NL"/>
        </w:rPr>
        <w:t>+ Thu tiền sử dụng đất: Số thực hiện là 298,326 tỷ/300,000 tỷ đồng bằng 99% so với kế hoạch tỉnh giao; do ảnh hưởng của thị trường bất động sản đang gặp khó khăn.</w:t>
      </w:r>
    </w:p>
    <w:p w:rsidR="00292CD4" w:rsidRPr="00F46DE3" w:rsidRDefault="00292CD4" w:rsidP="00292CD4">
      <w:pPr>
        <w:spacing w:before="100" w:after="100"/>
        <w:ind w:firstLine="720"/>
        <w:jc w:val="both"/>
        <w:rPr>
          <w:rStyle w:val="fontstyle01"/>
        </w:rPr>
      </w:pPr>
      <w:r w:rsidRPr="00F46DE3">
        <w:rPr>
          <w:rStyle w:val="fontstyle01"/>
        </w:rPr>
        <w:t xml:space="preserve">1.2. Thu tỉnh bổ sung có mục tiêu: </w:t>
      </w:r>
    </w:p>
    <w:p w:rsidR="00292CD4" w:rsidRPr="00F46DE3" w:rsidRDefault="00292CD4" w:rsidP="00292CD4">
      <w:pPr>
        <w:spacing w:before="100" w:after="100"/>
        <w:ind w:firstLine="720"/>
        <w:jc w:val="both"/>
        <w:rPr>
          <w:rStyle w:val="fontstyle21"/>
        </w:rPr>
      </w:pPr>
      <w:r w:rsidRPr="00F46DE3">
        <w:rPr>
          <w:rStyle w:val="fontstyle31"/>
        </w:rPr>
        <w:t xml:space="preserve">Thực hiện năm 2023 là </w:t>
      </w:r>
      <w:r w:rsidRPr="00F46DE3">
        <w:rPr>
          <w:rStyle w:val="fontstyle21"/>
        </w:rPr>
        <w:t>189,101 tỷ</w:t>
      </w:r>
      <w:r w:rsidRPr="00F46DE3">
        <w:rPr>
          <w:rStyle w:val="fontstyle31"/>
        </w:rPr>
        <w:t>/154,305 tỷ đồng và bằng 128% so với dự toán tỉnh giao, đạt 55% so với cùng kỳ (</w:t>
      </w:r>
      <w:r w:rsidRPr="00F46DE3">
        <w:rPr>
          <w:rStyle w:val="fontstyle31"/>
          <w:i/>
          <w:iCs/>
        </w:rPr>
        <w:t>189,101 tỷ/340,788 tỷ đồng</w:t>
      </w:r>
      <w:r w:rsidRPr="00F46DE3">
        <w:rPr>
          <w:rStyle w:val="fontstyle31"/>
        </w:rPr>
        <w:t xml:space="preserve">). </w:t>
      </w:r>
      <w:r w:rsidRPr="00F46DE3">
        <w:rPr>
          <w:rStyle w:val="fontstyle21"/>
          <w:i w:val="0"/>
          <w:iCs w:val="0"/>
        </w:rPr>
        <w:t xml:space="preserve">Nguyên nhân tăng: </w:t>
      </w:r>
      <w:r w:rsidRPr="00F46DE3">
        <w:rPr>
          <w:rStyle w:val="fontstyle21"/>
        </w:rPr>
        <w:t>Tỉnh cấp bổ sung trong năm với số kinh phí là 34,796 tỷ đồng các nội dung: Chương trình ứng dụng công nghệ thông tin năm 2023; trợ cấp công dân Xri-Lan-ca đang bị nạn trên vùng biển Bà Rịa - Vũng Tàu nhân dịp Tết Nguyên đán năm 2023; hoạt động của Ban Chỉ đạo 138 tỉnh năm 2023; thực hiện chính sách dân tộc năm 2023; Tổ chức và trợ cấp Tết Nguyên đán Quý Mão năm 2023; Kinh phí thực hiện chính sách hỗ trợ học phí cho trẻ nhà trẻ, trẻ mẫu giáo 3 tuổi, 4 tuổi, học sinh phổ thông công lập và ngoài công lập theo chương trình giáo dục phổ thông năm học 2023-2024.</w:t>
      </w:r>
    </w:p>
    <w:p w:rsidR="00292CD4" w:rsidRPr="00F46DE3" w:rsidRDefault="00292CD4" w:rsidP="00292CD4">
      <w:pPr>
        <w:spacing w:before="100" w:after="100"/>
        <w:ind w:firstLine="720"/>
        <w:jc w:val="both"/>
        <w:rPr>
          <w:rStyle w:val="fontstyle21"/>
        </w:rPr>
      </w:pPr>
      <w:r w:rsidRPr="00F46DE3">
        <w:rPr>
          <w:rStyle w:val="fontstyle01"/>
        </w:rPr>
        <w:t>1.</w:t>
      </w:r>
      <w:r>
        <w:rPr>
          <w:rStyle w:val="fontstyle01"/>
        </w:rPr>
        <w:t>3</w:t>
      </w:r>
      <w:r w:rsidRPr="00F46DE3">
        <w:rPr>
          <w:rStyle w:val="fontstyle01"/>
        </w:rPr>
        <w:t xml:space="preserve"> . Thu kết dư</w:t>
      </w:r>
      <w:r w:rsidRPr="00F46DE3">
        <w:rPr>
          <w:rStyle w:val="fontstyle21"/>
          <w:i w:val="0"/>
          <w:iCs w:val="0"/>
        </w:rPr>
        <w:t>:</w:t>
      </w:r>
      <w:r w:rsidRPr="00F46DE3">
        <w:rPr>
          <w:rStyle w:val="fontstyle21"/>
        </w:rPr>
        <w:t xml:space="preserve"> </w:t>
      </w:r>
      <w:r w:rsidRPr="00F46DE3">
        <w:rPr>
          <w:rStyle w:val="fontstyle21"/>
          <w:i w:val="0"/>
        </w:rPr>
        <w:t>Thực hiện là đạt 1.155,374 tỷ đồng; trong đó: cấp huyện là 1.045,333 tỷ đồng, cấp xã là 110,041 tỷ đồng.</w:t>
      </w:r>
    </w:p>
    <w:p w:rsidR="00292CD4" w:rsidRPr="00F46DE3" w:rsidRDefault="00292CD4" w:rsidP="00292CD4">
      <w:pPr>
        <w:spacing w:before="100" w:after="100"/>
        <w:ind w:firstLine="720"/>
        <w:jc w:val="both"/>
        <w:rPr>
          <w:rStyle w:val="fontstyle21"/>
        </w:rPr>
      </w:pPr>
      <w:r w:rsidRPr="00F46DE3">
        <w:rPr>
          <w:rStyle w:val="fontstyle01"/>
        </w:rPr>
        <w:t>1.</w:t>
      </w:r>
      <w:r>
        <w:rPr>
          <w:rStyle w:val="fontstyle01"/>
        </w:rPr>
        <w:t>4</w:t>
      </w:r>
      <w:r w:rsidRPr="00F46DE3">
        <w:rPr>
          <w:rStyle w:val="fontstyle01"/>
        </w:rPr>
        <w:t>. Thu chuyển nguồn</w:t>
      </w:r>
      <w:r w:rsidRPr="00F46DE3">
        <w:rPr>
          <w:rStyle w:val="fontstyle21"/>
          <w:b/>
          <w:bCs/>
          <w:i w:val="0"/>
          <w:iCs w:val="0"/>
        </w:rPr>
        <w:t>:</w:t>
      </w:r>
      <w:r w:rsidRPr="00F46DE3">
        <w:rPr>
          <w:rStyle w:val="fontstyle21"/>
        </w:rPr>
        <w:t xml:space="preserve"> </w:t>
      </w:r>
      <w:r w:rsidRPr="00F46DE3">
        <w:rPr>
          <w:rStyle w:val="fontstyle21"/>
          <w:i w:val="0"/>
          <w:iCs w:val="0"/>
        </w:rPr>
        <w:t>Thực hiện là 684,351 tỷ đồng; trong đó: cấp huyện là 640,053 tỷ đồng, cấp xã 44,298 tỷ đồng.</w:t>
      </w:r>
    </w:p>
    <w:p w:rsidR="00292CD4" w:rsidRPr="00F46DE3" w:rsidRDefault="00292CD4" w:rsidP="00292CD4">
      <w:pPr>
        <w:spacing w:before="100" w:after="100"/>
        <w:ind w:firstLine="720"/>
        <w:jc w:val="both"/>
        <w:rPr>
          <w:rStyle w:val="fontstyle21"/>
        </w:rPr>
      </w:pPr>
      <w:r w:rsidRPr="00F46DE3">
        <w:rPr>
          <w:rStyle w:val="fontstyle01"/>
        </w:rPr>
        <w:t>2. Kết quả thực hiện dự toán chi ngân sách địa phương năm 2023.</w:t>
      </w:r>
    </w:p>
    <w:p w:rsidR="00292CD4" w:rsidRPr="00F46DE3" w:rsidRDefault="00292CD4" w:rsidP="00292CD4">
      <w:pPr>
        <w:spacing w:before="100" w:after="100"/>
        <w:ind w:firstLine="720"/>
        <w:jc w:val="both"/>
        <w:rPr>
          <w:rStyle w:val="fontstyle31"/>
        </w:rPr>
      </w:pPr>
      <w:r w:rsidRPr="00F46DE3">
        <w:rPr>
          <w:rStyle w:val="fontstyle31"/>
        </w:rPr>
        <w:t xml:space="preserve">- Tổng chi ngân sách địa phương thực hiện năm 2023 </w:t>
      </w:r>
      <w:r w:rsidRPr="00F46DE3">
        <w:rPr>
          <w:bCs/>
          <w:iCs/>
          <w:sz w:val="28"/>
          <w:szCs w:val="28"/>
          <w:lang w:val="nl-NL"/>
        </w:rPr>
        <w:t xml:space="preserve">là </w:t>
      </w:r>
      <w:r w:rsidRPr="00F46DE3">
        <w:rPr>
          <w:sz w:val="28"/>
          <w:szCs w:val="28"/>
        </w:rPr>
        <w:t xml:space="preserve">3.297,506 tỷ/2.020,831 tỷ đồng, đạt 163% so với dự toán tỉnh giao, bằng 116% so với cùng kỳ </w:t>
      </w:r>
      <w:r w:rsidRPr="00F46DE3">
        <w:rPr>
          <w:bCs/>
          <w:iCs/>
          <w:sz w:val="28"/>
          <w:szCs w:val="28"/>
          <w:lang w:val="nl-NL"/>
        </w:rPr>
        <w:t xml:space="preserve">là </w:t>
      </w:r>
      <w:r w:rsidRPr="00F46DE3">
        <w:rPr>
          <w:sz w:val="28"/>
          <w:szCs w:val="28"/>
        </w:rPr>
        <w:t>3.297,506 tỷ/2.838,731 tỷ đồng</w:t>
      </w:r>
      <w:r w:rsidRPr="00F46DE3">
        <w:rPr>
          <w:i/>
          <w:sz w:val="28"/>
          <w:szCs w:val="28"/>
        </w:rPr>
        <w:t>.</w:t>
      </w:r>
      <w:r w:rsidRPr="00F46DE3">
        <w:rPr>
          <w:sz w:val="28"/>
          <w:szCs w:val="28"/>
        </w:rPr>
        <w:t xml:space="preserve"> (</w:t>
      </w:r>
      <w:r w:rsidRPr="00F46DE3">
        <w:rPr>
          <w:bCs/>
          <w:i/>
          <w:spacing w:val="-4"/>
          <w:sz w:val="28"/>
          <w:szCs w:val="28"/>
          <w:lang w:val="nl-NL"/>
        </w:rPr>
        <w:t>Nguyên nhân tăng chi trong</w:t>
      </w:r>
      <w:r w:rsidRPr="00F46DE3">
        <w:rPr>
          <w:i/>
          <w:sz w:val="28"/>
          <w:szCs w:val="28"/>
        </w:rPr>
        <w:t xml:space="preserve"> năm do tỉnh cấp bổ </w:t>
      </w:r>
      <w:r w:rsidRPr="00F46DE3">
        <w:rPr>
          <w:i/>
          <w:sz w:val="28"/>
          <w:szCs w:val="28"/>
        </w:rPr>
        <w:lastRenderedPageBreak/>
        <w:t xml:space="preserve">sung có mục tiêu bao gồm kinh phí trợ cấp tết Nguyên đán, </w:t>
      </w:r>
      <w:r w:rsidRPr="00F46DE3">
        <w:rPr>
          <w:i/>
          <w:spacing w:val="-6"/>
          <w:sz w:val="28"/>
          <w:szCs w:val="28"/>
        </w:rPr>
        <w:t xml:space="preserve">Kinh phí thực hiện chính sách dân tộc; Kinh phí hoạt động của Ban Chỉ đạo 138 </w:t>
      </w:r>
      <w:r w:rsidRPr="00F46DE3">
        <w:rPr>
          <w:i/>
          <w:sz w:val="28"/>
          <w:szCs w:val="28"/>
        </w:rPr>
        <w:t>và một số nhiệm vụ khác…</w:t>
      </w:r>
      <w:r w:rsidRPr="00F46DE3">
        <w:rPr>
          <w:sz w:val="28"/>
          <w:szCs w:val="28"/>
        </w:rPr>
        <w:t xml:space="preserve">), </w:t>
      </w:r>
      <w:r w:rsidRPr="00F46DE3">
        <w:rPr>
          <w:rStyle w:val="fontstyle31"/>
        </w:rPr>
        <w:t>đạt 126% so với dự toán thành phố xây dựng (</w:t>
      </w:r>
      <w:r w:rsidRPr="00F46DE3">
        <w:rPr>
          <w:sz w:val="28"/>
          <w:szCs w:val="28"/>
        </w:rPr>
        <w:t>3.297,943 tỷ</w:t>
      </w:r>
      <w:r w:rsidRPr="00F46DE3">
        <w:rPr>
          <w:rStyle w:val="fontstyle31"/>
          <w:i/>
        </w:rPr>
        <w:t>/2.614,236 tỷ đồng</w:t>
      </w:r>
      <w:r w:rsidRPr="00F46DE3">
        <w:rPr>
          <w:rStyle w:val="fontstyle31"/>
        </w:rPr>
        <w:t>).</w:t>
      </w:r>
    </w:p>
    <w:p w:rsidR="00292CD4" w:rsidRPr="00F46DE3" w:rsidRDefault="00292CD4" w:rsidP="00292CD4">
      <w:pPr>
        <w:spacing w:before="40" w:after="40"/>
        <w:ind w:firstLine="720"/>
        <w:jc w:val="both"/>
        <w:rPr>
          <w:rStyle w:val="fontstyle31"/>
        </w:rPr>
      </w:pPr>
      <w:r w:rsidRPr="00F46DE3">
        <w:rPr>
          <w:rStyle w:val="fontstyle31"/>
        </w:rPr>
        <w:t xml:space="preserve">Năm 2023, Tỉnh giao cho Thành phố với dự toán chi đầu tư chiếm tỷ trọng </w:t>
      </w:r>
      <w:r>
        <w:rPr>
          <w:rStyle w:val="fontstyle31"/>
        </w:rPr>
        <w:t>29</w:t>
      </w:r>
      <w:r w:rsidRPr="00F46DE3">
        <w:rPr>
          <w:rStyle w:val="fontstyle31"/>
        </w:rPr>
        <w:t>% (</w:t>
      </w:r>
      <w:r w:rsidRPr="00F46DE3">
        <w:rPr>
          <w:rStyle w:val="fontstyle31"/>
          <w:i/>
        </w:rPr>
        <w:t>634,076 tỷ/2.202,831 tỷ đồng</w:t>
      </w:r>
      <w:r w:rsidRPr="00F46DE3">
        <w:rPr>
          <w:rStyle w:val="fontstyle31"/>
        </w:rPr>
        <w:t>) trên tổng chi ngân sách thành phố Vũng Tàu; HĐND Thành phố giao dự toán chi đầu tư chiếm tỷ trọng 31% (</w:t>
      </w:r>
      <w:r w:rsidRPr="00F46DE3">
        <w:rPr>
          <w:rStyle w:val="fontstyle31"/>
          <w:i/>
        </w:rPr>
        <w:t>800,113 tỷ/2.614,236 tỷ đồng</w:t>
      </w:r>
      <w:r w:rsidRPr="00F46DE3">
        <w:rPr>
          <w:rStyle w:val="fontstyle31"/>
        </w:rPr>
        <w:t>) trên tổng chi ngân sách thành phố Vũng Tàu; quyết toán chi đầu tư chiếm tỷ trọng 28% (</w:t>
      </w:r>
      <w:r w:rsidRPr="00F46DE3">
        <w:rPr>
          <w:rStyle w:val="fontstyle31"/>
          <w:i/>
        </w:rPr>
        <w:t>918,244 tỷ đồng/3.297,943 tỷ đồng</w:t>
      </w:r>
      <w:r w:rsidRPr="00F46DE3">
        <w:rPr>
          <w:rStyle w:val="fontstyle31"/>
        </w:rPr>
        <w:t>), chi thường xuyên chiếm tỷ trọng 43% (</w:t>
      </w:r>
      <w:r w:rsidRPr="00F46DE3">
        <w:rPr>
          <w:rStyle w:val="fontstyle31"/>
          <w:i/>
        </w:rPr>
        <w:t>1,428.514 tỷ đồng/3.297,943 tỷ đồng</w:t>
      </w:r>
      <w:r w:rsidRPr="00F46DE3">
        <w:rPr>
          <w:rStyle w:val="fontstyle31"/>
        </w:rPr>
        <w:t>) trên tổng chi ngân sách thành phố Vũng Tàu. Chi chuyển nguồn năm sau bằng 19% tổng chi cân đối ngân sách (</w:t>
      </w:r>
      <w:r w:rsidRPr="00F46DE3">
        <w:rPr>
          <w:rStyle w:val="fontstyle31"/>
          <w:i/>
          <w:iCs/>
        </w:rPr>
        <w:t>630,261 tỷ/3.297,943 tỷ đồng</w:t>
      </w:r>
      <w:r w:rsidRPr="00F46DE3">
        <w:rPr>
          <w:rStyle w:val="fontstyle31"/>
        </w:rPr>
        <w:t>), chủ yếu là chi chuyển nguồn các khoản chi thường xuyên khoán chi của các đơn vị dự toán, nguồn cải cách tiền lương và một số nhiệm vụ cấp sau ngày 30/9, số dư tạm ứng chi đầu tư XDCB được chuyển nguồn sang năm 2024;</w:t>
      </w:r>
    </w:p>
    <w:p w:rsidR="00292CD4" w:rsidRPr="00F46DE3" w:rsidRDefault="00292CD4" w:rsidP="00292CD4">
      <w:pPr>
        <w:spacing w:before="40" w:after="40"/>
        <w:ind w:firstLine="720"/>
        <w:jc w:val="both"/>
        <w:rPr>
          <w:rStyle w:val="fontstyle31"/>
          <w:spacing w:val="-4"/>
        </w:rPr>
      </w:pPr>
      <w:bookmarkStart w:id="1" w:name="_Hlk83675196"/>
      <w:r w:rsidRPr="00F46DE3">
        <w:rPr>
          <w:rStyle w:val="fontstyle31"/>
        </w:rPr>
        <w:t xml:space="preserve">- </w:t>
      </w:r>
      <w:r w:rsidRPr="00F46DE3">
        <w:rPr>
          <w:rStyle w:val="fontstyle31"/>
          <w:spacing w:val="-4"/>
        </w:rPr>
        <w:t xml:space="preserve">Chi đầu tư XDCB trong năm 2023 là </w:t>
      </w:r>
      <w:r w:rsidRPr="00F46DE3">
        <w:rPr>
          <w:rStyle w:val="fontstyle31"/>
          <w:iCs/>
          <w:spacing w:val="-4"/>
        </w:rPr>
        <w:t>918,244</w:t>
      </w:r>
      <w:r w:rsidRPr="00F46DE3">
        <w:rPr>
          <w:rStyle w:val="fontstyle31"/>
          <w:i/>
          <w:spacing w:val="-4"/>
        </w:rPr>
        <w:t xml:space="preserve"> </w:t>
      </w:r>
      <w:r w:rsidRPr="00F46DE3">
        <w:rPr>
          <w:rStyle w:val="fontstyle31"/>
          <w:spacing w:val="-4"/>
        </w:rPr>
        <w:t>tỷ đồng, đạt tỷ lệ 145% (</w:t>
      </w:r>
      <w:r w:rsidRPr="00F46DE3">
        <w:rPr>
          <w:rStyle w:val="fontstyle31"/>
          <w:i/>
          <w:spacing w:val="-4"/>
        </w:rPr>
        <w:t>918,244 tỷ/634,076 tỷ đồng</w:t>
      </w:r>
      <w:r w:rsidRPr="00F46DE3">
        <w:rPr>
          <w:rStyle w:val="fontstyle31"/>
          <w:spacing w:val="-4"/>
        </w:rPr>
        <w:t>) dự toán Tỉnh giao, 115% dự toán HĐND Thành phố quyết nghị (</w:t>
      </w:r>
      <w:r w:rsidRPr="00F46DE3">
        <w:rPr>
          <w:rStyle w:val="fontstyle31"/>
          <w:i/>
          <w:spacing w:val="-4"/>
        </w:rPr>
        <w:t>918,244 tỷ/800,113 tỷ đồng</w:t>
      </w:r>
      <w:r w:rsidRPr="00F46DE3">
        <w:rPr>
          <w:rStyle w:val="fontstyle31"/>
          <w:spacing w:val="-4"/>
        </w:rPr>
        <w:t>) và bằng 193% so với số thực hiện năm 20</w:t>
      </w:r>
      <w:bookmarkEnd w:id="1"/>
      <w:r w:rsidRPr="00F46DE3">
        <w:rPr>
          <w:rStyle w:val="fontstyle31"/>
          <w:spacing w:val="-4"/>
        </w:rPr>
        <w:t>22 (</w:t>
      </w:r>
      <w:r w:rsidRPr="00F46DE3">
        <w:rPr>
          <w:rStyle w:val="fontstyle31"/>
          <w:i/>
          <w:spacing w:val="-4"/>
        </w:rPr>
        <w:t>918,244 tỷ /476,634 tỷ đồng</w:t>
      </w:r>
      <w:r w:rsidRPr="00F46DE3">
        <w:rPr>
          <w:rStyle w:val="fontstyle31"/>
          <w:spacing w:val="-4"/>
        </w:rPr>
        <w:t>)</w:t>
      </w:r>
      <w:r>
        <w:rPr>
          <w:rStyle w:val="fontstyle31"/>
          <w:spacing w:val="-4"/>
        </w:rPr>
        <w:t>, bao gồm giá trị tạm ứng khối lượng năm 2022 chuyển sang năm 2023</w:t>
      </w:r>
      <w:r w:rsidRPr="00F46DE3">
        <w:rPr>
          <w:rStyle w:val="fontstyle31"/>
          <w:spacing w:val="-4"/>
        </w:rPr>
        <w:t>. Đính kèm báo cáo số 2049/BC-UBND ngày 11/3/2024 của UBND thành phố Vũng Tàu về kết quả giải ngân kết hoạch vốn năm 2023 và tình hình thực hiện kế hoạch vốn đầu tư công tháng 01/2024;</w:t>
      </w:r>
    </w:p>
    <w:p w:rsidR="00292CD4" w:rsidRPr="00F46DE3" w:rsidRDefault="00292CD4" w:rsidP="00292CD4">
      <w:pPr>
        <w:spacing w:before="40" w:after="40"/>
        <w:ind w:firstLine="720"/>
        <w:jc w:val="both"/>
        <w:rPr>
          <w:rStyle w:val="fontstyle31"/>
          <w:spacing w:val="-4"/>
        </w:rPr>
      </w:pPr>
      <w:r w:rsidRPr="00F46DE3">
        <w:rPr>
          <w:rStyle w:val="fontstyle31"/>
          <w:spacing w:val="-4"/>
        </w:rPr>
        <w:t>Trong đó:</w:t>
      </w:r>
    </w:p>
    <w:p w:rsidR="00292CD4" w:rsidRPr="00F46DE3" w:rsidRDefault="00292CD4" w:rsidP="00292CD4">
      <w:pPr>
        <w:spacing w:before="40" w:after="40"/>
        <w:ind w:firstLine="720"/>
        <w:jc w:val="both"/>
        <w:rPr>
          <w:bCs/>
          <w:spacing w:val="-4"/>
          <w:sz w:val="28"/>
          <w:szCs w:val="28"/>
          <w:lang w:eastAsia="vi-VN"/>
        </w:rPr>
      </w:pPr>
      <w:r w:rsidRPr="00F46DE3">
        <w:rPr>
          <w:bCs/>
          <w:spacing w:val="-4"/>
          <w:sz w:val="28"/>
          <w:szCs w:val="28"/>
          <w:lang w:eastAsia="vi-VN"/>
        </w:rPr>
        <w:t>-</w:t>
      </w:r>
      <w:r w:rsidRPr="00F46DE3">
        <w:rPr>
          <w:b/>
          <w:bCs/>
          <w:spacing w:val="-4"/>
          <w:sz w:val="28"/>
          <w:szCs w:val="28"/>
          <w:lang w:eastAsia="vi-VN"/>
        </w:rPr>
        <w:t xml:space="preserve"> </w:t>
      </w:r>
      <w:r w:rsidRPr="00F46DE3">
        <w:rPr>
          <w:spacing w:val="-4"/>
          <w:sz w:val="28"/>
          <w:szCs w:val="28"/>
        </w:rPr>
        <w:t>Số giải ngân Kế hoạch vốn 2023 tính đến ngày 31/01/2024 là</w:t>
      </w:r>
      <w:r w:rsidRPr="00F46DE3">
        <w:rPr>
          <w:b/>
          <w:spacing w:val="-4"/>
          <w:sz w:val="28"/>
          <w:szCs w:val="28"/>
        </w:rPr>
        <w:t xml:space="preserve"> </w:t>
      </w:r>
      <w:r w:rsidRPr="00F46DE3">
        <w:rPr>
          <w:rStyle w:val="fontstyle31"/>
          <w:b/>
          <w:bCs/>
          <w:iCs/>
          <w:spacing w:val="-4"/>
        </w:rPr>
        <w:t>918,244</w:t>
      </w:r>
      <w:r w:rsidRPr="00F46DE3">
        <w:rPr>
          <w:rStyle w:val="fontstyle31"/>
          <w:b/>
          <w:bCs/>
          <w:i/>
          <w:spacing w:val="-4"/>
        </w:rPr>
        <w:t xml:space="preserve"> tỷ</w:t>
      </w:r>
      <w:r w:rsidRPr="00F46DE3">
        <w:rPr>
          <w:rStyle w:val="fontstyle31"/>
          <w:b/>
          <w:bCs/>
          <w:spacing w:val="-4"/>
        </w:rPr>
        <w:t xml:space="preserve"> đồng,</w:t>
      </w:r>
      <w:r w:rsidRPr="00F46DE3">
        <w:rPr>
          <w:b/>
          <w:bCs/>
          <w:spacing w:val="-4"/>
          <w:sz w:val="28"/>
          <w:szCs w:val="28"/>
        </w:rPr>
        <w:t xml:space="preserve"> </w:t>
      </w:r>
      <w:r w:rsidRPr="00F46DE3">
        <w:rPr>
          <w:rStyle w:val="fontstyle31"/>
          <w:b/>
          <w:bCs/>
          <w:spacing w:val="-4"/>
        </w:rPr>
        <w:t>đạt tỷ lệ 145% dự toán Tỉnh giao</w:t>
      </w:r>
      <w:r w:rsidRPr="00F46DE3">
        <w:rPr>
          <w:rStyle w:val="fontstyle31"/>
          <w:spacing w:val="-4"/>
        </w:rPr>
        <w:t xml:space="preserve"> (</w:t>
      </w:r>
      <w:r w:rsidRPr="00F46DE3">
        <w:rPr>
          <w:rStyle w:val="fontstyle31"/>
          <w:i/>
          <w:spacing w:val="-4"/>
        </w:rPr>
        <w:t>918,244 tỷ/634,076 tỷ đồng</w:t>
      </w:r>
      <w:r w:rsidRPr="00F46DE3">
        <w:rPr>
          <w:rStyle w:val="fontstyle31"/>
          <w:spacing w:val="-4"/>
        </w:rPr>
        <w:t>) và</w:t>
      </w:r>
      <w:r w:rsidRPr="00F46DE3">
        <w:rPr>
          <w:bCs/>
          <w:spacing w:val="-4"/>
          <w:sz w:val="28"/>
          <w:szCs w:val="28"/>
        </w:rPr>
        <w:t xml:space="preserve"> đạt 115%</w:t>
      </w:r>
      <w:r w:rsidRPr="00F46DE3">
        <w:rPr>
          <w:spacing w:val="-4"/>
          <w:sz w:val="28"/>
          <w:szCs w:val="28"/>
        </w:rPr>
        <w:t xml:space="preserve"> so với kế hoạch vốn </w:t>
      </w:r>
      <w:r w:rsidRPr="00F46DE3">
        <w:rPr>
          <w:rStyle w:val="fontstyle31"/>
          <w:spacing w:val="-4"/>
        </w:rPr>
        <w:t xml:space="preserve">Thành phố </w:t>
      </w:r>
      <w:r w:rsidRPr="00F46DE3">
        <w:rPr>
          <w:spacing w:val="-4"/>
          <w:sz w:val="28"/>
          <w:szCs w:val="28"/>
        </w:rPr>
        <w:t>giao đầu năm 2023 (</w:t>
      </w:r>
      <w:r w:rsidRPr="00F46DE3">
        <w:rPr>
          <w:rStyle w:val="fontstyle31"/>
          <w:i/>
          <w:spacing w:val="-4"/>
        </w:rPr>
        <w:t>918,244 tỷ</w:t>
      </w:r>
      <w:r w:rsidRPr="00F46DE3">
        <w:rPr>
          <w:b/>
          <w:i/>
          <w:spacing w:val="-4"/>
          <w:sz w:val="28"/>
          <w:szCs w:val="28"/>
        </w:rPr>
        <w:t>/</w:t>
      </w:r>
      <w:r w:rsidRPr="00F46DE3">
        <w:rPr>
          <w:bCs/>
          <w:i/>
          <w:sz w:val="28"/>
          <w:szCs w:val="28"/>
          <w:lang w:val="fr-FR" w:eastAsia="vi-VN"/>
        </w:rPr>
        <w:t xml:space="preserve">800,113 </w:t>
      </w:r>
      <w:r w:rsidRPr="00F46DE3">
        <w:rPr>
          <w:bCs/>
          <w:i/>
          <w:spacing w:val="-4"/>
          <w:sz w:val="28"/>
          <w:szCs w:val="28"/>
        </w:rPr>
        <w:t>tỷ đồng</w:t>
      </w:r>
      <w:r w:rsidRPr="00F46DE3">
        <w:rPr>
          <w:bCs/>
          <w:spacing w:val="-4"/>
          <w:sz w:val="28"/>
          <w:szCs w:val="28"/>
        </w:rPr>
        <w:t>)</w:t>
      </w:r>
      <w:r w:rsidRPr="00F46DE3">
        <w:rPr>
          <w:spacing w:val="-4"/>
          <w:sz w:val="28"/>
          <w:szCs w:val="28"/>
        </w:rPr>
        <w:t xml:space="preserve">, </w:t>
      </w:r>
      <w:r w:rsidRPr="00F46DE3">
        <w:rPr>
          <w:bCs/>
          <w:spacing w:val="-4"/>
          <w:sz w:val="28"/>
          <w:szCs w:val="28"/>
          <w:lang w:eastAsia="vi-VN"/>
        </w:rPr>
        <w:t xml:space="preserve">bao gồm giá trị tạm ứng năm 2022 chuyển sang năm 2023 là </w:t>
      </w:r>
      <w:r w:rsidRPr="00F46DE3">
        <w:rPr>
          <w:bCs/>
          <w:sz w:val="28"/>
          <w:szCs w:val="28"/>
          <w:lang w:val="fr-FR" w:eastAsia="vi-VN"/>
        </w:rPr>
        <w:t>293,188 tỷ đồng</w:t>
      </w:r>
      <w:r w:rsidRPr="00F46DE3">
        <w:rPr>
          <w:bCs/>
          <w:spacing w:val="-4"/>
          <w:sz w:val="28"/>
          <w:szCs w:val="28"/>
          <w:lang w:eastAsia="vi-VN"/>
        </w:rPr>
        <w:t>.</w:t>
      </w:r>
    </w:p>
    <w:p w:rsidR="00292CD4" w:rsidRPr="00E55D74" w:rsidRDefault="00292CD4" w:rsidP="00292CD4">
      <w:pPr>
        <w:spacing w:before="40" w:after="40"/>
        <w:jc w:val="both"/>
        <w:rPr>
          <w:spacing w:val="-8"/>
          <w:sz w:val="28"/>
          <w:szCs w:val="28"/>
          <w:lang w:val="nl-NL"/>
        </w:rPr>
      </w:pPr>
      <w:r w:rsidRPr="00F46DE3">
        <w:rPr>
          <w:bCs/>
          <w:spacing w:val="-10"/>
          <w:sz w:val="28"/>
          <w:szCs w:val="28"/>
          <w:lang w:eastAsia="vi-VN"/>
        </w:rPr>
        <w:tab/>
      </w:r>
      <w:r w:rsidRPr="00E55D74">
        <w:rPr>
          <w:bCs/>
          <w:spacing w:val="-8"/>
          <w:sz w:val="28"/>
          <w:szCs w:val="28"/>
          <w:lang w:eastAsia="vi-VN"/>
        </w:rPr>
        <w:t xml:space="preserve">- </w:t>
      </w:r>
      <w:r w:rsidRPr="00E55D74">
        <w:rPr>
          <w:spacing w:val="-8"/>
          <w:sz w:val="28"/>
          <w:szCs w:val="28"/>
          <w:lang w:val="nl-NL"/>
        </w:rPr>
        <w:t xml:space="preserve">Số quyết toán chi đầu tư số thực hiện năm 2023 là </w:t>
      </w:r>
      <w:r w:rsidRPr="00E55D74">
        <w:rPr>
          <w:b/>
          <w:spacing w:val="-8"/>
          <w:sz w:val="28"/>
          <w:szCs w:val="28"/>
          <w:lang w:val="nl-NL"/>
        </w:rPr>
        <w:t>625,056 tỷ đồng, đạt 98,6% so với dự toán Tỉnh năm 2023</w:t>
      </w:r>
      <w:r w:rsidRPr="00E55D74">
        <w:rPr>
          <w:spacing w:val="-8"/>
          <w:sz w:val="28"/>
          <w:szCs w:val="28"/>
          <w:lang w:val="nl-NL"/>
        </w:rPr>
        <w:t xml:space="preserve"> </w:t>
      </w:r>
      <w:r w:rsidRPr="00E55D74">
        <w:rPr>
          <w:rStyle w:val="fontstyle31"/>
          <w:spacing w:val="-8"/>
        </w:rPr>
        <w:t>Tỉnh giao (</w:t>
      </w:r>
      <w:r w:rsidRPr="00E55D74">
        <w:rPr>
          <w:bCs/>
          <w:i/>
          <w:iCs/>
          <w:spacing w:val="-8"/>
          <w:sz w:val="28"/>
          <w:szCs w:val="28"/>
          <w:lang w:val="nl-NL"/>
        </w:rPr>
        <w:t>625,056 tỷ/</w:t>
      </w:r>
      <w:r w:rsidRPr="00E55D74">
        <w:rPr>
          <w:rStyle w:val="fontstyle31"/>
          <w:i/>
          <w:iCs/>
          <w:spacing w:val="-8"/>
        </w:rPr>
        <w:t xml:space="preserve">634,076 </w:t>
      </w:r>
      <w:r w:rsidRPr="00E55D74">
        <w:rPr>
          <w:bCs/>
          <w:i/>
          <w:iCs/>
          <w:spacing w:val="-8"/>
          <w:sz w:val="28"/>
          <w:szCs w:val="28"/>
          <w:lang w:val="nl-NL"/>
        </w:rPr>
        <w:t>tỷ đồng</w:t>
      </w:r>
      <w:r w:rsidRPr="00E55D74">
        <w:rPr>
          <w:rStyle w:val="fontstyle31"/>
          <w:spacing w:val="-8"/>
        </w:rPr>
        <w:t>) và</w:t>
      </w:r>
      <w:r w:rsidRPr="00E55D74">
        <w:rPr>
          <w:spacing w:val="-8"/>
          <w:sz w:val="28"/>
          <w:szCs w:val="28"/>
          <w:lang w:val="nl-NL"/>
        </w:rPr>
        <w:t xml:space="preserve"> </w:t>
      </w:r>
      <w:r w:rsidRPr="00E55D74">
        <w:rPr>
          <w:bCs/>
          <w:spacing w:val="-8"/>
          <w:sz w:val="28"/>
          <w:szCs w:val="28"/>
        </w:rPr>
        <w:t>đạt 78,1%</w:t>
      </w:r>
      <w:r w:rsidRPr="00E55D74">
        <w:rPr>
          <w:spacing w:val="-8"/>
          <w:sz w:val="28"/>
          <w:szCs w:val="28"/>
        </w:rPr>
        <w:t xml:space="preserve"> so với kế hoạch vốn </w:t>
      </w:r>
      <w:r w:rsidRPr="00E55D74">
        <w:rPr>
          <w:rStyle w:val="fontstyle31"/>
          <w:spacing w:val="-8"/>
        </w:rPr>
        <w:t xml:space="preserve">Thành phố </w:t>
      </w:r>
      <w:r w:rsidRPr="00E55D74">
        <w:rPr>
          <w:spacing w:val="-8"/>
          <w:sz w:val="28"/>
          <w:szCs w:val="28"/>
        </w:rPr>
        <w:t>giao đầu năm 2023 (</w:t>
      </w:r>
      <w:r w:rsidRPr="00E55D74">
        <w:rPr>
          <w:bCs/>
          <w:i/>
          <w:iCs/>
          <w:spacing w:val="-8"/>
          <w:sz w:val="28"/>
          <w:szCs w:val="28"/>
          <w:lang w:val="nl-NL"/>
        </w:rPr>
        <w:t>625,056 tỷ/</w:t>
      </w:r>
      <w:r w:rsidRPr="00E55D74">
        <w:rPr>
          <w:bCs/>
          <w:i/>
          <w:spacing w:val="-8"/>
          <w:sz w:val="28"/>
          <w:szCs w:val="28"/>
          <w:lang w:val="fr-FR" w:eastAsia="vi-VN"/>
        </w:rPr>
        <w:t xml:space="preserve">800.113 </w:t>
      </w:r>
      <w:r w:rsidRPr="00E55D74">
        <w:rPr>
          <w:bCs/>
          <w:i/>
          <w:spacing w:val="-8"/>
          <w:sz w:val="28"/>
          <w:szCs w:val="28"/>
        </w:rPr>
        <w:t>tỷ đồng).</w:t>
      </w:r>
    </w:p>
    <w:p w:rsidR="00292CD4" w:rsidRPr="00F46DE3" w:rsidRDefault="00292CD4" w:rsidP="00292CD4">
      <w:pPr>
        <w:spacing w:before="40" w:after="40"/>
        <w:ind w:firstLine="720"/>
        <w:jc w:val="both"/>
        <w:rPr>
          <w:rStyle w:val="fontstyle31"/>
        </w:rPr>
      </w:pPr>
      <w:r w:rsidRPr="00F46DE3">
        <w:rPr>
          <w:rStyle w:val="fontstyle31"/>
        </w:rPr>
        <w:t xml:space="preserve">- </w:t>
      </w:r>
      <w:bookmarkStart w:id="2" w:name="_Hlk83675213"/>
      <w:r w:rsidRPr="00F46DE3">
        <w:rPr>
          <w:rStyle w:val="fontstyle31"/>
        </w:rPr>
        <w:t>Chi thường xuyên 1.428,514 tỷ đồng, đạt 106% dự toán Tỉnh giao (</w:t>
      </w:r>
      <w:r w:rsidRPr="00F46DE3">
        <w:rPr>
          <w:rStyle w:val="fontstyle31"/>
          <w:i/>
          <w:iCs/>
        </w:rPr>
        <w:t>1.428,514 tỷ/1.347,132 tỷ đồng</w:t>
      </w:r>
      <w:r w:rsidRPr="00F46DE3">
        <w:rPr>
          <w:rStyle w:val="fontstyle31"/>
        </w:rPr>
        <w:t>), 81% dự toán HĐND Thành phố quyết nghị (</w:t>
      </w:r>
      <w:r w:rsidRPr="00F46DE3">
        <w:rPr>
          <w:rStyle w:val="fontstyle31"/>
          <w:i/>
          <w:iCs/>
        </w:rPr>
        <w:t>1.428,514</w:t>
      </w:r>
      <w:r w:rsidRPr="00F46DE3">
        <w:rPr>
          <w:rStyle w:val="fontstyle31"/>
        </w:rPr>
        <w:t xml:space="preserve"> </w:t>
      </w:r>
      <w:r w:rsidRPr="00F46DE3">
        <w:rPr>
          <w:rStyle w:val="fontstyle31"/>
          <w:i/>
        </w:rPr>
        <w:t>tỷ đồng/1.762,863 tỷ đồng</w:t>
      </w:r>
      <w:r w:rsidRPr="00F46DE3">
        <w:rPr>
          <w:rStyle w:val="fontstyle31"/>
        </w:rPr>
        <w:t>) và bằng 98% so với thực hiện năm 20</w:t>
      </w:r>
      <w:bookmarkEnd w:id="2"/>
      <w:r w:rsidRPr="00F46DE3">
        <w:rPr>
          <w:rStyle w:val="fontstyle31"/>
        </w:rPr>
        <w:t>23 (</w:t>
      </w:r>
      <w:r w:rsidRPr="00F46DE3">
        <w:rPr>
          <w:rStyle w:val="fontstyle31"/>
          <w:i/>
          <w:iCs/>
        </w:rPr>
        <w:t>1.428,514</w:t>
      </w:r>
      <w:r w:rsidRPr="00F46DE3">
        <w:rPr>
          <w:rStyle w:val="fontstyle31"/>
        </w:rPr>
        <w:t xml:space="preserve"> </w:t>
      </w:r>
      <w:r w:rsidRPr="00F46DE3">
        <w:rPr>
          <w:rStyle w:val="fontstyle31"/>
          <w:i/>
        </w:rPr>
        <w:t>tỷ đồng/1.465,113 tỷ đồng</w:t>
      </w:r>
      <w:r w:rsidRPr="00F46DE3">
        <w:rPr>
          <w:rStyle w:val="fontstyle31"/>
        </w:rPr>
        <w:t>).</w:t>
      </w:r>
    </w:p>
    <w:p w:rsidR="00292CD4" w:rsidRPr="00F46DE3" w:rsidRDefault="00292CD4" w:rsidP="00292CD4">
      <w:pPr>
        <w:tabs>
          <w:tab w:val="left" w:pos="9090"/>
        </w:tabs>
        <w:spacing w:before="40" w:after="40"/>
        <w:ind w:firstLine="720"/>
        <w:jc w:val="both"/>
        <w:rPr>
          <w:bCs/>
          <w:iCs/>
          <w:sz w:val="28"/>
          <w:szCs w:val="28"/>
          <w:lang w:val="nl-NL"/>
        </w:rPr>
      </w:pPr>
      <w:r w:rsidRPr="00F46DE3">
        <w:rPr>
          <w:bCs/>
          <w:iCs/>
          <w:sz w:val="28"/>
          <w:szCs w:val="28"/>
          <w:lang w:val="nl-NL"/>
        </w:rPr>
        <w:t xml:space="preserve">+ Chi sự nghiệp giáo dục, đào tạo: Số thực hiện </w:t>
      </w:r>
      <w:r w:rsidRPr="00F46DE3">
        <w:rPr>
          <w:bCs/>
          <w:iCs/>
          <w:sz w:val="28"/>
          <w:szCs w:val="28"/>
          <w:lang w:val="vi-VN"/>
        </w:rPr>
        <w:t>là</w:t>
      </w:r>
      <w:r w:rsidRPr="00F46DE3">
        <w:rPr>
          <w:bCs/>
          <w:iCs/>
          <w:sz w:val="28"/>
          <w:szCs w:val="28"/>
        </w:rPr>
        <w:t xml:space="preserve"> </w:t>
      </w:r>
      <w:r w:rsidRPr="00F46DE3">
        <w:rPr>
          <w:bCs/>
          <w:iCs/>
          <w:sz w:val="28"/>
          <w:szCs w:val="28"/>
          <w:lang w:val="nl-NL"/>
        </w:rPr>
        <w:t>682,971 tỷ/651,237 tỷ đồng, đạt 105% dự toán tỉnh giao. (</w:t>
      </w:r>
      <w:r w:rsidRPr="00F46DE3">
        <w:rPr>
          <w:bCs/>
          <w:i/>
          <w:sz w:val="28"/>
          <w:szCs w:val="28"/>
          <w:lang w:val="nl-NL"/>
        </w:rPr>
        <w:t>Tăng do bổ sung chi trợ cấp Tết năm 2023 của Tỉnh, Thành phố Vũng Tàu, chính sách hỗ trợ miễn giảm học phí cho học sinh từ Mầm non đến Trung học cơ sở</w:t>
      </w:r>
      <w:r w:rsidRPr="00F46DE3">
        <w:rPr>
          <w:bCs/>
          <w:iCs/>
          <w:sz w:val="28"/>
          <w:szCs w:val="28"/>
          <w:lang w:val="nl-NL"/>
        </w:rPr>
        <w:t>)</w:t>
      </w:r>
    </w:p>
    <w:p w:rsidR="00292CD4" w:rsidRPr="00F46DE3" w:rsidRDefault="00292CD4" w:rsidP="00292CD4">
      <w:pPr>
        <w:tabs>
          <w:tab w:val="left" w:pos="9090"/>
        </w:tabs>
        <w:spacing w:before="40" w:after="40"/>
        <w:ind w:firstLine="720"/>
        <w:jc w:val="both"/>
        <w:rPr>
          <w:bCs/>
          <w:iCs/>
          <w:spacing w:val="-4"/>
          <w:sz w:val="28"/>
          <w:szCs w:val="28"/>
          <w:lang w:val="vi-VN"/>
        </w:rPr>
      </w:pPr>
      <w:r w:rsidRPr="00F46DE3">
        <w:rPr>
          <w:bCs/>
          <w:iCs/>
          <w:spacing w:val="-4"/>
          <w:sz w:val="28"/>
          <w:szCs w:val="28"/>
        </w:rPr>
        <w:t xml:space="preserve">+ </w:t>
      </w:r>
      <w:r w:rsidRPr="00F46DE3">
        <w:rPr>
          <w:bCs/>
          <w:iCs/>
          <w:spacing w:val="-4"/>
          <w:sz w:val="28"/>
          <w:szCs w:val="28"/>
          <w:lang w:val="vi-VN"/>
        </w:rPr>
        <w:t xml:space="preserve">Chi </w:t>
      </w:r>
      <w:r w:rsidRPr="00F46DE3">
        <w:rPr>
          <w:bCs/>
          <w:iCs/>
          <w:spacing w:val="-4"/>
          <w:sz w:val="28"/>
          <w:szCs w:val="28"/>
        </w:rPr>
        <w:t>sự nghiệp khoa học công nghệ</w:t>
      </w:r>
      <w:r w:rsidRPr="00F46DE3">
        <w:rPr>
          <w:bCs/>
          <w:iCs/>
          <w:spacing w:val="-4"/>
          <w:sz w:val="28"/>
          <w:szCs w:val="28"/>
          <w:lang w:val="vi-VN"/>
        </w:rPr>
        <w:t xml:space="preserve">: </w:t>
      </w:r>
      <w:r w:rsidRPr="00F46DE3">
        <w:rPr>
          <w:bCs/>
          <w:iCs/>
          <w:sz w:val="28"/>
          <w:szCs w:val="28"/>
          <w:lang w:val="nl-NL"/>
        </w:rPr>
        <w:t xml:space="preserve">Số thực hiện </w:t>
      </w:r>
      <w:r w:rsidRPr="00F46DE3">
        <w:rPr>
          <w:bCs/>
          <w:iCs/>
          <w:spacing w:val="-4"/>
          <w:sz w:val="28"/>
          <w:szCs w:val="28"/>
          <w:lang w:val="vi-VN"/>
        </w:rPr>
        <w:t>là</w:t>
      </w:r>
      <w:r w:rsidRPr="00F46DE3">
        <w:rPr>
          <w:bCs/>
          <w:iCs/>
          <w:spacing w:val="-4"/>
          <w:sz w:val="28"/>
          <w:szCs w:val="28"/>
        </w:rPr>
        <w:t xml:space="preserve"> 0,515 </w:t>
      </w:r>
      <w:r w:rsidRPr="00F46DE3">
        <w:rPr>
          <w:bCs/>
          <w:iCs/>
          <w:spacing w:val="-4"/>
          <w:sz w:val="28"/>
          <w:szCs w:val="28"/>
          <w:lang w:val="vi-VN"/>
        </w:rPr>
        <w:t>tỷ/</w:t>
      </w:r>
      <w:r w:rsidRPr="00F46DE3">
        <w:rPr>
          <w:bCs/>
          <w:iCs/>
          <w:spacing w:val="-4"/>
          <w:sz w:val="28"/>
          <w:szCs w:val="28"/>
        </w:rPr>
        <w:t xml:space="preserve">0,689 </w:t>
      </w:r>
      <w:r w:rsidRPr="00F46DE3">
        <w:rPr>
          <w:bCs/>
          <w:iCs/>
          <w:spacing w:val="-4"/>
          <w:sz w:val="28"/>
          <w:szCs w:val="28"/>
          <w:lang w:val="vi-VN"/>
        </w:rPr>
        <w:t xml:space="preserve">tỷ đồng, đạt </w:t>
      </w:r>
      <w:r w:rsidRPr="00F46DE3">
        <w:rPr>
          <w:bCs/>
          <w:iCs/>
          <w:spacing w:val="-4"/>
          <w:sz w:val="28"/>
          <w:szCs w:val="28"/>
        </w:rPr>
        <w:t>75</w:t>
      </w:r>
      <w:r w:rsidRPr="00F46DE3">
        <w:rPr>
          <w:bCs/>
          <w:iCs/>
          <w:spacing w:val="-4"/>
          <w:sz w:val="28"/>
          <w:szCs w:val="28"/>
          <w:lang w:val="vi-VN"/>
        </w:rPr>
        <w:t xml:space="preserve">% kế hoạch </w:t>
      </w:r>
      <w:r w:rsidRPr="00F46DE3">
        <w:rPr>
          <w:bCs/>
          <w:iCs/>
          <w:spacing w:val="-4"/>
          <w:sz w:val="28"/>
          <w:szCs w:val="28"/>
          <w:lang w:val="nl-NL"/>
        </w:rPr>
        <w:t>Tỉnh giao. Giảm do giảm số lượng đợt đoàn kiểm tra phục vụ công tác quản lý nhà nước về đo lường, chất lượng và ghi nhãn hàng hóa theo tình hình thực tế trên địa bàn.</w:t>
      </w:r>
    </w:p>
    <w:p w:rsidR="00292CD4" w:rsidRPr="00F46DE3" w:rsidRDefault="00292CD4" w:rsidP="00292CD4">
      <w:pPr>
        <w:tabs>
          <w:tab w:val="left" w:pos="9090"/>
        </w:tabs>
        <w:spacing w:before="40" w:after="40"/>
        <w:ind w:firstLine="720"/>
        <w:jc w:val="both"/>
        <w:rPr>
          <w:bCs/>
          <w:iCs/>
          <w:spacing w:val="-4"/>
          <w:sz w:val="28"/>
          <w:szCs w:val="28"/>
          <w:lang w:val="nl-NL"/>
        </w:rPr>
      </w:pPr>
      <w:r w:rsidRPr="00F46DE3">
        <w:rPr>
          <w:bCs/>
          <w:iCs/>
          <w:spacing w:val="-4"/>
          <w:sz w:val="28"/>
          <w:szCs w:val="28"/>
        </w:rPr>
        <w:lastRenderedPageBreak/>
        <w:t xml:space="preserve">+ </w:t>
      </w:r>
      <w:r w:rsidRPr="00F46DE3">
        <w:rPr>
          <w:bCs/>
          <w:iCs/>
          <w:spacing w:val="-4"/>
          <w:sz w:val="28"/>
          <w:szCs w:val="28"/>
          <w:lang w:val="vi-VN"/>
        </w:rPr>
        <w:t xml:space="preserve">Chi an ninh quốc phòng: </w:t>
      </w:r>
      <w:r w:rsidRPr="00F46DE3">
        <w:rPr>
          <w:bCs/>
          <w:iCs/>
          <w:sz w:val="28"/>
          <w:szCs w:val="28"/>
          <w:lang w:val="nl-NL"/>
        </w:rPr>
        <w:t xml:space="preserve">Số thực hiện </w:t>
      </w:r>
      <w:r w:rsidRPr="00F46DE3">
        <w:rPr>
          <w:bCs/>
          <w:iCs/>
          <w:spacing w:val="-4"/>
          <w:sz w:val="28"/>
          <w:szCs w:val="28"/>
          <w:lang w:val="vi-VN"/>
        </w:rPr>
        <w:t>là</w:t>
      </w:r>
      <w:r w:rsidRPr="00F46DE3">
        <w:rPr>
          <w:bCs/>
          <w:iCs/>
          <w:spacing w:val="-4"/>
          <w:sz w:val="28"/>
          <w:szCs w:val="28"/>
        </w:rPr>
        <w:t xml:space="preserve"> 63,385</w:t>
      </w:r>
      <w:r w:rsidRPr="00F46DE3">
        <w:rPr>
          <w:bCs/>
          <w:iCs/>
          <w:spacing w:val="-4"/>
          <w:sz w:val="28"/>
          <w:szCs w:val="28"/>
          <w:lang w:val="vi-VN"/>
        </w:rPr>
        <w:t xml:space="preserve"> tỷ/</w:t>
      </w:r>
      <w:r w:rsidRPr="00F46DE3">
        <w:rPr>
          <w:bCs/>
          <w:iCs/>
          <w:spacing w:val="-4"/>
          <w:sz w:val="28"/>
          <w:szCs w:val="28"/>
        </w:rPr>
        <w:t xml:space="preserve">56,544 </w:t>
      </w:r>
      <w:r w:rsidRPr="00F46DE3">
        <w:rPr>
          <w:bCs/>
          <w:iCs/>
          <w:spacing w:val="-4"/>
          <w:sz w:val="28"/>
          <w:szCs w:val="28"/>
          <w:lang w:val="vi-VN"/>
        </w:rPr>
        <w:t xml:space="preserve">tỷ đồng, đạt </w:t>
      </w:r>
      <w:r w:rsidRPr="00F46DE3">
        <w:rPr>
          <w:bCs/>
          <w:iCs/>
          <w:spacing w:val="-4"/>
          <w:sz w:val="28"/>
          <w:szCs w:val="28"/>
        </w:rPr>
        <w:t>112</w:t>
      </w:r>
      <w:r w:rsidRPr="00F46DE3">
        <w:rPr>
          <w:bCs/>
          <w:iCs/>
          <w:spacing w:val="-4"/>
          <w:sz w:val="28"/>
          <w:szCs w:val="28"/>
          <w:lang w:val="vi-VN"/>
        </w:rPr>
        <w:t xml:space="preserve">% kế hoạch </w:t>
      </w:r>
      <w:r w:rsidRPr="00F46DE3">
        <w:rPr>
          <w:bCs/>
          <w:iCs/>
          <w:spacing w:val="-4"/>
          <w:sz w:val="28"/>
          <w:szCs w:val="28"/>
          <w:lang w:val="nl-NL"/>
        </w:rPr>
        <w:t>Tỉnh giao (</w:t>
      </w:r>
      <w:r w:rsidRPr="00F46DE3">
        <w:rPr>
          <w:bCs/>
          <w:i/>
          <w:spacing w:val="-4"/>
          <w:sz w:val="28"/>
          <w:szCs w:val="28"/>
          <w:lang w:val="nl-NL"/>
        </w:rPr>
        <w:t>Tăng do bổ sung kinh phí hỗ trợ tổ chức Hội thi thể thao nghiệp vụ chữa cháy và cứu nạn, cứu hộ của các Đội dân phòng thành phố Vũng Tàu năm 2023 và tham gia Hội thi cấp Tỉnh năm 2023; kinh phí phục vụ khung tiếp nhận, quản lý các công dân nước ngoài bị nạn trên biển về tạm trú và kinh phí bảo đảm điện, nước tại Bộ chỉ huy Bộ đội Biên phòng cũ số 89 Lê Lợi, phường 4, TPVT; kinh phí đảm bảo diễn tập khu vực phòng thủ tỉnh Bà Rịa - Vũng Tàu năm 2023 và diễn tập chiến đấu phòng thủ phường 11, 12 trong khu vực phòng thủ năm 2023; trợ cấp tết Nguyên đán năm 2023...</w:t>
      </w:r>
      <w:r w:rsidRPr="00F46DE3">
        <w:rPr>
          <w:bCs/>
          <w:iCs/>
          <w:spacing w:val="-4"/>
          <w:sz w:val="28"/>
          <w:szCs w:val="28"/>
          <w:lang w:val="nl-NL"/>
        </w:rPr>
        <w:t>)</w:t>
      </w:r>
    </w:p>
    <w:p w:rsidR="00292CD4" w:rsidRPr="00F46DE3" w:rsidRDefault="00292CD4" w:rsidP="00292CD4">
      <w:pPr>
        <w:tabs>
          <w:tab w:val="left" w:pos="9090"/>
        </w:tabs>
        <w:spacing w:before="40" w:after="40"/>
        <w:ind w:firstLine="720"/>
        <w:jc w:val="both"/>
        <w:rPr>
          <w:bCs/>
          <w:iCs/>
          <w:sz w:val="28"/>
          <w:szCs w:val="28"/>
          <w:lang w:val="nl-NL"/>
        </w:rPr>
      </w:pPr>
      <w:r w:rsidRPr="00F46DE3">
        <w:rPr>
          <w:bCs/>
          <w:iCs/>
          <w:sz w:val="28"/>
          <w:szCs w:val="28"/>
          <w:lang w:val="nl-NL"/>
        </w:rPr>
        <w:t xml:space="preserve">+ Chi sự nghiệp văn hóa: Số thực hiện </w:t>
      </w:r>
      <w:r w:rsidRPr="00F46DE3">
        <w:rPr>
          <w:bCs/>
          <w:iCs/>
          <w:sz w:val="28"/>
          <w:szCs w:val="28"/>
          <w:lang w:val="vi-VN"/>
        </w:rPr>
        <w:t>là</w:t>
      </w:r>
      <w:r w:rsidRPr="00F46DE3">
        <w:rPr>
          <w:bCs/>
          <w:iCs/>
          <w:sz w:val="28"/>
          <w:szCs w:val="28"/>
        </w:rPr>
        <w:t xml:space="preserve"> 16</w:t>
      </w:r>
      <w:r w:rsidRPr="00F46DE3">
        <w:rPr>
          <w:bCs/>
          <w:iCs/>
          <w:sz w:val="28"/>
          <w:szCs w:val="28"/>
          <w:lang w:val="nl-NL"/>
        </w:rPr>
        <w:t>,057 tỷ/12,976 tỷ đồng, đạt 124% dự toán tỉnh giao. Tăng do tăng chi tổ chức các hoạt động văn hóa, văn nghệ- thể dục thể thao Lễ hội Nghinh Ông Thắng Tam thành phố Vũng Tàu 2023, Hội thi thiết kế đèn Lồng và Lễ hội đường phố năm 2023,</w:t>
      </w:r>
      <w:r w:rsidRPr="00F46DE3">
        <w:t xml:space="preserve"> </w:t>
      </w:r>
      <w:r w:rsidRPr="00F46DE3">
        <w:rPr>
          <w:bCs/>
          <w:iCs/>
          <w:sz w:val="28"/>
          <w:szCs w:val="28"/>
          <w:lang w:val="nl-NL"/>
        </w:rPr>
        <w:t>tuyên truyền và các hoạt động văn nghệ phục vụ Hội trại và Lễ giao nhận quân thành phố Vũng Tàu năm 2023, kinh phí các hoạt động Ngày Lễ Giỗ Tổ Hùng Vương năm 2023, hội trại “Nối vòng tay lớn” thành phố Vũng Tàu năm 2023;</w:t>
      </w:r>
    </w:p>
    <w:p w:rsidR="00292CD4" w:rsidRPr="00F46DE3" w:rsidRDefault="00292CD4" w:rsidP="00292CD4">
      <w:pPr>
        <w:tabs>
          <w:tab w:val="left" w:pos="9090"/>
        </w:tabs>
        <w:spacing w:before="40" w:after="40"/>
        <w:ind w:firstLine="720"/>
        <w:jc w:val="both"/>
        <w:rPr>
          <w:bCs/>
          <w:iCs/>
          <w:sz w:val="28"/>
          <w:szCs w:val="28"/>
          <w:lang w:val="nl-NL"/>
        </w:rPr>
      </w:pPr>
      <w:r w:rsidRPr="00F46DE3">
        <w:rPr>
          <w:bCs/>
          <w:iCs/>
          <w:sz w:val="28"/>
          <w:szCs w:val="28"/>
          <w:lang w:val="nl-NL"/>
        </w:rPr>
        <w:t xml:space="preserve">+ Chi phát thanh truyền hình: Số thực hiện </w:t>
      </w:r>
      <w:r w:rsidRPr="00F46DE3">
        <w:rPr>
          <w:bCs/>
          <w:iCs/>
          <w:sz w:val="28"/>
          <w:szCs w:val="28"/>
          <w:lang w:val="vi-VN"/>
        </w:rPr>
        <w:t>là</w:t>
      </w:r>
      <w:r w:rsidRPr="00F46DE3">
        <w:rPr>
          <w:bCs/>
          <w:iCs/>
          <w:sz w:val="28"/>
          <w:szCs w:val="28"/>
        </w:rPr>
        <w:t xml:space="preserve"> 3,185 tỷ/3,230 tỷ đồng</w:t>
      </w:r>
      <w:r w:rsidRPr="00F46DE3">
        <w:rPr>
          <w:bCs/>
          <w:iCs/>
          <w:sz w:val="28"/>
          <w:szCs w:val="28"/>
          <w:lang w:val="nl-NL"/>
        </w:rPr>
        <w:t>, đạt 99% dự toán tỉnh giao. Giảm một số nội dung chi hoạt động chi phát thanh, truyền hình trong năm đối với cấp xã.</w:t>
      </w:r>
    </w:p>
    <w:p w:rsidR="00292CD4" w:rsidRPr="00F46DE3" w:rsidRDefault="00292CD4" w:rsidP="00292CD4">
      <w:pPr>
        <w:tabs>
          <w:tab w:val="left" w:pos="9090"/>
        </w:tabs>
        <w:spacing w:before="40" w:after="40"/>
        <w:ind w:firstLine="720"/>
        <w:jc w:val="both"/>
        <w:rPr>
          <w:bCs/>
          <w:iCs/>
          <w:spacing w:val="-6"/>
          <w:sz w:val="28"/>
          <w:szCs w:val="28"/>
          <w:lang w:val="nl-NL"/>
        </w:rPr>
      </w:pPr>
      <w:r w:rsidRPr="00F46DE3">
        <w:rPr>
          <w:bCs/>
          <w:iCs/>
          <w:spacing w:val="-6"/>
          <w:sz w:val="28"/>
          <w:szCs w:val="28"/>
          <w:lang w:val="nl-NL"/>
        </w:rPr>
        <w:t xml:space="preserve">+ Chi thể dục thể thao: Số thực hiện </w:t>
      </w:r>
      <w:r w:rsidRPr="00F46DE3">
        <w:rPr>
          <w:bCs/>
          <w:iCs/>
          <w:spacing w:val="-6"/>
          <w:sz w:val="28"/>
          <w:szCs w:val="28"/>
          <w:lang w:val="vi-VN"/>
        </w:rPr>
        <w:t>là</w:t>
      </w:r>
      <w:r w:rsidRPr="00F46DE3">
        <w:rPr>
          <w:bCs/>
          <w:iCs/>
          <w:spacing w:val="-6"/>
          <w:sz w:val="28"/>
          <w:szCs w:val="28"/>
        </w:rPr>
        <w:t xml:space="preserve"> 4,822 tỷ đồng/3,696</w:t>
      </w:r>
      <w:r w:rsidRPr="00F46DE3">
        <w:rPr>
          <w:bCs/>
          <w:iCs/>
          <w:spacing w:val="-6"/>
          <w:sz w:val="28"/>
          <w:szCs w:val="28"/>
          <w:lang w:val="nl-NL"/>
        </w:rPr>
        <w:t>, đạt 130% dự toán tỉnh giao.</w:t>
      </w:r>
      <w:r w:rsidRPr="00F46DE3">
        <w:rPr>
          <w:rStyle w:val="fontstyle31"/>
        </w:rPr>
        <w:t xml:space="preserve"> Tăng do bổ sung kinh phí tổ chức các hoạt động văn hóa, văn nghệ- thể dục thể thao Lễ hội Nghinh Ông Thắng Tam thành phố Vũng Tàu năm 2023.</w:t>
      </w:r>
    </w:p>
    <w:p w:rsidR="00292CD4" w:rsidRPr="00F46DE3" w:rsidRDefault="00292CD4" w:rsidP="00292CD4">
      <w:pPr>
        <w:tabs>
          <w:tab w:val="left" w:pos="9090"/>
        </w:tabs>
        <w:spacing w:before="40" w:after="40"/>
        <w:ind w:firstLine="720"/>
        <w:jc w:val="both"/>
        <w:rPr>
          <w:bCs/>
          <w:iCs/>
          <w:sz w:val="28"/>
          <w:szCs w:val="28"/>
          <w:lang w:val="nl-NL"/>
        </w:rPr>
      </w:pPr>
      <w:r w:rsidRPr="00F46DE3">
        <w:rPr>
          <w:bCs/>
          <w:iCs/>
          <w:sz w:val="28"/>
          <w:szCs w:val="28"/>
          <w:lang w:val="nl-NL"/>
        </w:rPr>
        <w:t>+ Chi bảo vệ môi trường</w:t>
      </w:r>
      <w:r>
        <w:rPr>
          <w:bCs/>
          <w:iCs/>
          <w:sz w:val="28"/>
          <w:szCs w:val="28"/>
          <w:lang w:val="nl-NL"/>
        </w:rPr>
        <w:t>, c</w:t>
      </w:r>
      <w:r w:rsidRPr="00F46DE3">
        <w:rPr>
          <w:bCs/>
          <w:iCs/>
          <w:sz w:val="28"/>
          <w:szCs w:val="28"/>
          <w:lang w:val="nl-NL"/>
        </w:rPr>
        <w:t xml:space="preserve">hi các hoạt động kinh tế: Số thực hiện </w:t>
      </w:r>
      <w:r w:rsidRPr="00F46DE3">
        <w:rPr>
          <w:bCs/>
          <w:iCs/>
          <w:sz w:val="28"/>
          <w:szCs w:val="28"/>
          <w:lang w:val="vi-VN"/>
        </w:rPr>
        <w:t>là</w:t>
      </w:r>
      <w:r w:rsidRPr="00F46DE3">
        <w:rPr>
          <w:bCs/>
          <w:iCs/>
          <w:sz w:val="28"/>
          <w:szCs w:val="28"/>
        </w:rPr>
        <w:t xml:space="preserve"> </w:t>
      </w:r>
      <w:r>
        <w:rPr>
          <w:bCs/>
          <w:iCs/>
          <w:sz w:val="28"/>
          <w:szCs w:val="28"/>
          <w:lang w:val="nl-NL"/>
        </w:rPr>
        <w:t>339</w:t>
      </w:r>
      <w:r w:rsidRPr="00F46DE3">
        <w:rPr>
          <w:bCs/>
          <w:iCs/>
          <w:sz w:val="28"/>
          <w:szCs w:val="28"/>
          <w:lang w:val="nl-NL"/>
        </w:rPr>
        <w:t>,</w:t>
      </w:r>
      <w:r>
        <w:rPr>
          <w:bCs/>
          <w:iCs/>
          <w:sz w:val="28"/>
          <w:szCs w:val="28"/>
          <w:lang w:val="nl-NL"/>
        </w:rPr>
        <w:t>696</w:t>
      </w:r>
      <w:r w:rsidRPr="00F46DE3">
        <w:rPr>
          <w:bCs/>
          <w:iCs/>
          <w:sz w:val="28"/>
          <w:szCs w:val="28"/>
          <w:lang w:val="nl-NL"/>
        </w:rPr>
        <w:t xml:space="preserve"> tỷ/</w:t>
      </w:r>
      <w:r>
        <w:rPr>
          <w:bCs/>
          <w:iCs/>
          <w:sz w:val="28"/>
          <w:szCs w:val="28"/>
          <w:lang w:val="nl-NL"/>
        </w:rPr>
        <w:t>338</w:t>
      </w:r>
      <w:r w:rsidRPr="00F46DE3">
        <w:rPr>
          <w:bCs/>
          <w:iCs/>
          <w:sz w:val="28"/>
          <w:szCs w:val="28"/>
          <w:lang w:val="nl-NL"/>
        </w:rPr>
        <w:t>,</w:t>
      </w:r>
      <w:r>
        <w:rPr>
          <w:bCs/>
          <w:iCs/>
          <w:sz w:val="28"/>
          <w:szCs w:val="28"/>
          <w:lang w:val="nl-NL"/>
        </w:rPr>
        <w:t>443</w:t>
      </w:r>
      <w:r w:rsidRPr="00F46DE3">
        <w:rPr>
          <w:bCs/>
          <w:iCs/>
          <w:sz w:val="28"/>
          <w:szCs w:val="28"/>
          <w:lang w:val="nl-NL"/>
        </w:rPr>
        <w:t xml:space="preserve"> tỷ đồng, đạt </w:t>
      </w:r>
      <w:r>
        <w:rPr>
          <w:bCs/>
          <w:iCs/>
          <w:sz w:val="28"/>
          <w:szCs w:val="28"/>
          <w:lang w:val="nl-NL"/>
        </w:rPr>
        <w:t>100</w:t>
      </w:r>
      <w:r w:rsidRPr="00F46DE3">
        <w:rPr>
          <w:bCs/>
          <w:iCs/>
          <w:sz w:val="28"/>
          <w:szCs w:val="28"/>
          <w:lang w:val="nl-NL"/>
        </w:rPr>
        <w:t>% kế hoạch Tỉnh giao. Trong năm 2023, tăng chi chủ yếu cấp kinh phí chi cho dịch vụ vệ sinh môi trường và duy trì, sửa chữa hệ thống điện chiếu sáng công cộng năm 2023</w:t>
      </w:r>
      <w:r>
        <w:rPr>
          <w:bCs/>
          <w:iCs/>
          <w:sz w:val="28"/>
          <w:szCs w:val="28"/>
          <w:lang w:val="nl-NL"/>
        </w:rPr>
        <w:t>, kiến thiết thị chính.</w:t>
      </w:r>
    </w:p>
    <w:p w:rsidR="00292CD4" w:rsidRPr="00F46DE3" w:rsidRDefault="00292CD4" w:rsidP="00292CD4">
      <w:pPr>
        <w:tabs>
          <w:tab w:val="left" w:pos="9090"/>
        </w:tabs>
        <w:spacing w:before="40" w:after="40"/>
        <w:ind w:firstLine="720"/>
        <w:jc w:val="both"/>
        <w:rPr>
          <w:bCs/>
          <w:iCs/>
          <w:spacing w:val="-4"/>
          <w:sz w:val="28"/>
          <w:szCs w:val="28"/>
          <w:lang w:val="en-GB"/>
        </w:rPr>
      </w:pPr>
      <w:r w:rsidRPr="00F46DE3">
        <w:rPr>
          <w:bCs/>
          <w:iCs/>
          <w:spacing w:val="-4"/>
          <w:sz w:val="28"/>
          <w:szCs w:val="28"/>
        </w:rPr>
        <w:t xml:space="preserve">+ </w:t>
      </w:r>
      <w:r w:rsidRPr="00F46DE3">
        <w:rPr>
          <w:bCs/>
          <w:iCs/>
          <w:spacing w:val="-4"/>
          <w:sz w:val="28"/>
          <w:szCs w:val="28"/>
          <w:lang w:val="vi-VN"/>
        </w:rPr>
        <w:t>Chi quản lý hành chính, Đảng, Đoàn thể:</w:t>
      </w:r>
      <w:r w:rsidRPr="00F46DE3">
        <w:rPr>
          <w:bCs/>
          <w:iCs/>
          <w:spacing w:val="-4"/>
          <w:sz w:val="28"/>
          <w:szCs w:val="28"/>
          <w:lang w:val="en-GB"/>
        </w:rPr>
        <w:t xml:space="preserve"> </w:t>
      </w:r>
      <w:r w:rsidRPr="00F46DE3">
        <w:rPr>
          <w:bCs/>
          <w:iCs/>
          <w:sz w:val="28"/>
          <w:szCs w:val="28"/>
          <w:lang w:val="nl-NL"/>
        </w:rPr>
        <w:t xml:space="preserve">Số thực hiện </w:t>
      </w:r>
      <w:r w:rsidRPr="00F46DE3">
        <w:rPr>
          <w:bCs/>
          <w:iCs/>
          <w:spacing w:val="-4"/>
          <w:sz w:val="28"/>
          <w:szCs w:val="28"/>
          <w:lang w:val="vi-VN"/>
        </w:rPr>
        <w:t>là</w:t>
      </w:r>
      <w:r w:rsidRPr="00F46DE3">
        <w:rPr>
          <w:bCs/>
          <w:iCs/>
          <w:spacing w:val="-4"/>
          <w:sz w:val="28"/>
          <w:szCs w:val="28"/>
        </w:rPr>
        <w:t xml:space="preserve"> </w:t>
      </w:r>
      <w:r w:rsidRPr="00F46DE3">
        <w:rPr>
          <w:bCs/>
          <w:iCs/>
          <w:spacing w:val="-4"/>
          <w:sz w:val="28"/>
          <w:szCs w:val="28"/>
          <w:lang w:val="en-GB"/>
        </w:rPr>
        <w:t xml:space="preserve">243,418 </w:t>
      </w:r>
      <w:r w:rsidRPr="00F46DE3">
        <w:rPr>
          <w:bCs/>
          <w:iCs/>
          <w:spacing w:val="-4"/>
          <w:sz w:val="28"/>
          <w:szCs w:val="28"/>
          <w:lang w:val="vi-VN"/>
        </w:rPr>
        <w:t>tỷ/</w:t>
      </w:r>
      <w:r w:rsidRPr="00F46DE3">
        <w:rPr>
          <w:bCs/>
          <w:iCs/>
          <w:spacing w:val="-4"/>
          <w:sz w:val="28"/>
          <w:szCs w:val="28"/>
          <w:lang w:val="en-GB"/>
        </w:rPr>
        <w:t>196,337</w:t>
      </w:r>
      <w:r w:rsidRPr="00F46DE3">
        <w:rPr>
          <w:bCs/>
          <w:iCs/>
          <w:spacing w:val="-4"/>
          <w:sz w:val="28"/>
          <w:szCs w:val="28"/>
          <w:lang w:val="vi-VN"/>
        </w:rPr>
        <w:t xml:space="preserve"> tỷ đồng, </w:t>
      </w:r>
      <w:r w:rsidRPr="00F46DE3">
        <w:rPr>
          <w:bCs/>
          <w:iCs/>
          <w:spacing w:val="-4"/>
          <w:sz w:val="28"/>
          <w:szCs w:val="28"/>
          <w:lang w:val="nl-NL"/>
        </w:rPr>
        <w:t>đạt 124% kế hoạch Tỉnh giao</w:t>
      </w:r>
      <w:r w:rsidRPr="00F46DE3">
        <w:rPr>
          <w:bCs/>
          <w:iCs/>
          <w:spacing w:val="-4"/>
          <w:sz w:val="28"/>
          <w:szCs w:val="28"/>
          <w:lang w:val="en-GB"/>
        </w:rPr>
        <w:t xml:space="preserve">. Nguyên nhân do tăng chi cải cách tiền lương mới, </w:t>
      </w:r>
      <w:r w:rsidRPr="00F46DE3">
        <w:rPr>
          <w:bCs/>
          <w:iCs/>
          <w:sz w:val="28"/>
          <w:szCs w:val="28"/>
          <w:lang w:val="nl-NL"/>
        </w:rPr>
        <w:t>tăng chi trợ cấp Tết năm 2023 của Tỉnh và thành phố Vũng Tàu.</w:t>
      </w:r>
    </w:p>
    <w:p w:rsidR="00292CD4" w:rsidRPr="00F46DE3" w:rsidRDefault="00292CD4" w:rsidP="00292CD4">
      <w:pPr>
        <w:tabs>
          <w:tab w:val="left" w:pos="9090"/>
        </w:tabs>
        <w:spacing w:before="40" w:after="40"/>
        <w:ind w:firstLine="720"/>
        <w:jc w:val="both"/>
        <w:rPr>
          <w:bCs/>
          <w:iCs/>
          <w:sz w:val="28"/>
          <w:szCs w:val="28"/>
          <w:lang w:val="nl-NL"/>
        </w:rPr>
      </w:pPr>
      <w:r w:rsidRPr="00F46DE3">
        <w:rPr>
          <w:bCs/>
          <w:iCs/>
          <w:sz w:val="28"/>
          <w:szCs w:val="28"/>
          <w:lang w:val="nl-NL"/>
        </w:rPr>
        <w:t xml:space="preserve">+ Chi sự nghiệp bảo đảm xã hội: Số thực hiện </w:t>
      </w:r>
      <w:r w:rsidRPr="00F46DE3">
        <w:rPr>
          <w:bCs/>
          <w:iCs/>
          <w:sz w:val="28"/>
          <w:szCs w:val="28"/>
          <w:lang w:val="vi-VN"/>
        </w:rPr>
        <w:t>là</w:t>
      </w:r>
      <w:r w:rsidRPr="00F46DE3">
        <w:rPr>
          <w:bCs/>
          <w:iCs/>
          <w:sz w:val="28"/>
          <w:szCs w:val="28"/>
        </w:rPr>
        <w:t xml:space="preserve"> </w:t>
      </w:r>
      <w:r w:rsidRPr="00F46DE3">
        <w:rPr>
          <w:bCs/>
          <w:iCs/>
          <w:sz w:val="28"/>
          <w:szCs w:val="28"/>
          <w:lang w:val="nl-NL"/>
        </w:rPr>
        <w:t>65,076 tỷ/65,368 tỷ đồng, đạt 100% so với dự toán tỉnh giao. Chủ yếu chi cho đối tượng bảo trợ xã hội hàng tháng, chi cho đối tượng là sinh viên người dân tộc thiểu số.</w:t>
      </w:r>
    </w:p>
    <w:p w:rsidR="00292CD4" w:rsidRPr="00F46DE3" w:rsidRDefault="00292CD4" w:rsidP="00292CD4">
      <w:pPr>
        <w:tabs>
          <w:tab w:val="left" w:pos="9090"/>
        </w:tabs>
        <w:spacing w:before="40" w:after="40"/>
        <w:ind w:firstLine="720"/>
        <w:jc w:val="both"/>
        <w:rPr>
          <w:bCs/>
          <w:iCs/>
          <w:sz w:val="28"/>
          <w:szCs w:val="28"/>
          <w:lang w:val="nl-NL"/>
        </w:rPr>
      </w:pPr>
      <w:r w:rsidRPr="00F46DE3">
        <w:rPr>
          <w:bCs/>
          <w:iCs/>
          <w:sz w:val="28"/>
          <w:szCs w:val="28"/>
        </w:rPr>
        <w:t>+</w:t>
      </w:r>
      <w:r w:rsidRPr="00F46DE3">
        <w:rPr>
          <w:bCs/>
          <w:iCs/>
          <w:sz w:val="28"/>
          <w:szCs w:val="28"/>
          <w:lang w:val="vi-VN"/>
        </w:rPr>
        <w:t xml:space="preserve"> Chi khác ngân sách:</w:t>
      </w:r>
      <w:r w:rsidRPr="00F46DE3">
        <w:rPr>
          <w:bCs/>
          <w:iCs/>
          <w:sz w:val="28"/>
          <w:szCs w:val="28"/>
          <w:lang w:val="en-GB"/>
        </w:rPr>
        <w:t xml:space="preserve"> </w:t>
      </w:r>
      <w:r w:rsidRPr="00F46DE3">
        <w:rPr>
          <w:bCs/>
          <w:iCs/>
          <w:sz w:val="28"/>
          <w:szCs w:val="28"/>
          <w:lang w:val="nl-NL"/>
        </w:rPr>
        <w:t xml:space="preserve">Số thực hiện </w:t>
      </w:r>
      <w:r w:rsidRPr="00F46DE3">
        <w:rPr>
          <w:bCs/>
          <w:iCs/>
          <w:sz w:val="28"/>
          <w:szCs w:val="28"/>
          <w:lang w:val="vi-VN"/>
        </w:rPr>
        <w:t>là</w:t>
      </w:r>
      <w:r w:rsidRPr="00F46DE3">
        <w:rPr>
          <w:bCs/>
          <w:iCs/>
          <w:sz w:val="28"/>
          <w:szCs w:val="28"/>
        </w:rPr>
        <w:t xml:space="preserve"> 8,852 </w:t>
      </w:r>
      <w:r w:rsidRPr="00F46DE3">
        <w:rPr>
          <w:bCs/>
          <w:iCs/>
          <w:sz w:val="28"/>
          <w:szCs w:val="28"/>
          <w:lang w:val="vi-VN"/>
        </w:rPr>
        <w:t>tỷ/</w:t>
      </w:r>
      <w:r w:rsidRPr="00F46DE3">
        <w:rPr>
          <w:bCs/>
          <w:iCs/>
          <w:sz w:val="28"/>
          <w:szCs w:val="28"/>
        </w:rPr>
        <w:t>12,307</w:t>
      </w:r>
      <w:r w:rsidRPr="00F46DE3">
        <w:rPr>
          <w:bCs/>
          <w:iCs/>
          <w:sz w:val="28"/>
          <w:szCs w:val="28"/>
          <w:lang w:val="vi-VN"/>
        </w:rPr>
        <w:t xml:space="preserve"> tỷ đồng, </w:t>
      </w:r>
      <w:r w:rsidRPr="00F46DE3">
        <w:rPr>
          <w:bCs/>
          <w:iCs/>
          <w:sz w:val="28"/>
          <w:szCs w:val="28"/>
          <w:lang w:val="nl-NL"/>
        </w:rPr>
        <w:t>đạt 72% kế hoạch Tỉnh giao</w:t>
      </w:r>
      <w:r w:rsidRPr="00F46DE3">
        <w:rPr>
          <w:bCs/>
          <w:iCs/>
          <w:sz w:val="28"/>
          <w:szCs w:val="28"/>
        </w:rPr>
        <w:t>;</w:t>
      </w:r>
      <w:r w:rsidRPr="00F46DE3">
        <w:rPr>
          <w:bCs/>
          <w:iCs/>
          <w:sz w:val="28"/>
          <w:szCs w:val="28"/>
          <w:lang w:val="nl-NL"/>
        </w:rPr>
        <w:t xml:space="preserve"> c</w:t>
      </w:r>
      <w:r w:rsidRPr="00F46DE3">
        <w:rPr>
          <w:bCs/>
          <w:iCs/>
          <w:sz w:val="28"/>
          <w:szCs w:val="28"/>
        </w:rPr>
        <w:t>hủ yếu</w:t>
      </w:r>
      <w:r w:rsidRPr="00F46DE3">
        <w:rPr>
          <w:bCs/>
          <w:iCs/>
          <w:sz w:val="28"/>
          <w:szCs w:val="28"/>
          <w:lang w:val="nl-NL"/>
        </w:rPr>
        <w:t xml:space="preserve"> chi Hội trại Tòng quân thành phố Vũng Tàu năm 2023, hỗ trợ trợ cấp Tết Nguyên đán 2023 và những nhiệm vụ phát sinh trong năm, các đơn vị hỗ trợ như chi phòng chống dịch cho Trung tâm Y tế từ nguồn chi dự phòng </w:t>
      </w:r>
      <w:r>
        <w:rPr>
          <w:bCs/>
          <w:iCs/>
          <w:sz w:val="28"/>
          <w:szCs w:val="28"/>
          <w:lang w:val="nl-NL"/>
        </w:rPr>
        <w:t>được</w:t>
      </w:r>
      <w:r w:rsidRPr="00F46DE3">
        <w:rPr>
          <w:bCs/>
          <w:iCs/>
          <w:sz w:val="28"/>
          <w:szCs w:val="28"/>
          <w:lang w:val="nl-NL"/>
        </w:rPr>
        <w:t xml:space="preserve"> hạch toán vào nguồn chi khác.</w:t>
      </w:r>
    </w:p>
    <w:p w:rsidR="00292CD4" w:rsidRPr="00F46DE3" w:rsidRDefault="00292CD4" w:rsidP="00292CD4">
      <w:pPr>
        <w:tabs>
          <w:tab w:val="left" w:pos="9090"/>
        </w:tabs>
        <w:spacing w:before="40" w:after="40"/>
        <w:ind w:firstLine="720"/>
        <w:jc w:val="both"/>
        <w:rPr>
          <w:bCs/>
          <w:iCs/>
          <w:sz w:val="28"/>
          <w:szCs w:val="28"/>
          <w:lang w:val="nl-NL"/>
        </w:rPr>
      </w:pPr>
      <w:r w:rsidRPr="00F46DE3">
        <w:rPr>
          <w:rStyle w:val="fontstyle31"/>
        </w:rPr>
        <w:t>+ Chi dự phòng năm 2023 đạt 1,910 tỷ đồng/51,260 tỷ đồng, đạt 3,7% kế hoạch thành phố xây dựng (</w:t>
      </w:r>
      <w:r w:rsidRPr="00F46DE3">
        <w:rPr>
          <w:rStyle w:val="fontstyle31"/>
          <w:i/>
          <w:iCs/>
          <w:spacing w:val="-4"/>
        </w:rPr>
        <w:t>Nội dung này hạch toán vào chi Y tế, chi khác</w:t>
      </w:r>
      <w:r w:rsidRPr="00F46DE3">
        <w:rPr>
          <w:rStyle w:val="fontstyle31"/>
        </w:rPr>
        <w:t>).</w:t>
      </w:r>
    </w:p>
    <w:p w:rsidR="00292CD4" w:rsidRPr="00F46DE3" w:rsidRDefault="00292CD4" w:rsidP="00292CD4">
      <w:pPr>
        <w:spacing w:before="40" w:after="40"/>
        <w:ind w:firstLine="720"/>
        <w:jc w:val="both"/>
        <w:rPr>
          <w:sz w:val="28"/>
          <w:szCs w:val="28"/>
          <w:lang w:val="vi-VN" w:eastAsia="vi-VN"/>
        </w:rPr>
      </w:pPr>
      <w:r w:rsidRPr="00F46DE3">
        <w:rPr>
          <w:rStyle w:val="fontstyle01"/>
        </w:rPr>
        <w:t>3. Chênh lệch thu - chi ngân sách địa phương năm 2023.</w:t>
      </w:r>
    </w:p>
    <w:p w:rsidR="00292CD4" w:rsidRPr="00F46DE3" w:rsidRDefault="00292CD4" w:rsidP="00292CD4">
      <w:pPr>
        <w:spacing w:before="40" w:after="40"/>
        <w:ind w:left="720"/>
        <w:rPr>
          <w:rStyle w:val="fontstyle01"/>
        </w:rPr>
      </w:pPr>
      <w:r w:rsidRPr="00F46DE3">
        <w:rPr>
          <w:rStyle w:val="fontstyle01"/>
        </w:rPr>
        <w:lastRenderedPageBreak/>
        <w:t>3.1. Tổng thu ngân sách địa phương được hưởng: 4.133,651 tỷ đồng.</w:t>
      </w:r>
    </w:p>
    <w:p w:rsidR="00292CD4" w:rsidRPr="00F46DE3" w:rsidRDefault="00292CD4" w:rsidP="00292CD4">
      <w:pPr>
        <w:spacing w:before="40" w:after="40"/>
        <w:ind w:left="720" w:firstLine="720"/>
        <w:rPr>
          <w:sz w:val="28"/>
          <w:szCs w:val="28"/>
        </w:rPr>
      </w:pPr>
      <w:r w:rsidRPr="00F46DE3">
        <w:rPr>
          <w:rStyle w:val="fontstyle31"/>
        </w:rPr>
        <w:t xml:space="preserve">- Thu NS cấp huyện </w:t>
      </w:r>
      <w:r w:rsidRPr="00F46DE3">
        <w:rPr>
          <w:sz w:val="28"/>
          <w:szCs w:val="28"/>
        </w:rPr>
        <w:tab/>
      </w:r>
      <w:r w:rsidRPr="00F46DE3">
        <w:rPr>
          <w:rStyle w:val="fontstyle31"/>
        </w:rPr>
        <w:t>: 3.701,884 tỷ đồng;</w:t>
      </w:r>
    </w:p>
    <w:p w:rsidR="00292CD4" w:rsidRPr="00F46DE3" w:rsidRDefault="00292CD4" w:rsidP="00292CD4">
      <w:pPr>
        <w:spacing w:before="40" w:after="40"/>
        <w:ind w:left="720" w:firstLine="720"/>
        <w:rPr>
          <w:sz w:val="28"/>
          <w:szCs w:val="28"/>
        </w:rPr>
      </w:pPr>
      <w:r w:rsidRPr="00F46DE3">
        <w:rPr>
          <w:rStyle w:val="fontstyle31"/>
        </w:rPr>
        <w:t>- Thu NS cấp xã</w:t>
      </w:r>
      <w:r w:rsidRPr="00F46DE3">
        <w:rPr>
          <w:rStyle w:val="fontstyle31"/>
        </w:rPr>
        <w:tab/>
      </w:r>
      <w:r w:rsidRPr="00F46DE3">
        <w:rPr>
          <w:rStyle w:val="fontstyle31"/>
        </w:rPr>
        <w:tab/>
        <w:t>:    431,767 tỷ đồng;</w:t>
      </w:r>
    </w:p>
    <w:p w:rsidR="00292CD4" w:rsidRPr="00F46DE3" w:rsidRDefault="00292CD4" w:rsidP="00292CD4">
      <w:pPr>
        <w:spacing w:before="40" w:after="40"/>
        <w:ind w:firstLine="720"/>
        <w:rPr>
          <w:rStyle w:val="fontstyle31"/>
        </w:rPr>
      </w:pPr>
      <w:r w:rsidRPr="00F46DE3">
        <w:rPr>
          <w:rStyle w:val="fontstyle31"/>
          <w:b/>
          <w:bCs/>
        </w:rPr>
        <w:t xml:space="preserve">3.2. Tổng chi ngân sách địa phương </w:t>
      </w:r>
      <w:r w:rsidRPr="00F46DE3">
        <w:rPr>
          <w:rStyle w:val="fontstyle31"/>
        </w:rPr>
        <w:tab/>
      </w:r>
      <w:r w:rsidRPr="00F46DE3">
        <w:rPr>
          <w:rStyle w:val="fontstyle31"/>
          <w:b/>
          <w:bCs/>
        </w:rPr>
        <w:t>: 3.297,943 tỷ đồng.</w:t>
      </w:r>
    </w:p>
    <w:p w:rsidR="00292CD4" w:rsidRPr="00F46DE3" w:rsidRDefault="00292CD4" w:rsidP="00292CD4">
      <w:pPr>
        <w:spacing w:before="40" w:after="40"/>
        <w:ind w:left="1440"/>
        <w:rPr>
          <w:rStyle w:val="fontstyle31"/>
        </w:rPr>
      </w:pPr>
      <w:r w:rsidRPr="00F46DE3">
        <w:rPr>
          <w:rStyle w:val="fontstyle31"/>
        </w:rPr>
        <w:t>- Chi NS cấp huyện</w:t>
      </w:r>
      <w:r w:rsidRPr="00F46DE3">
        <w:rPr>
          <w:rStyle w:val="fontstyle31"/>
        </w:rPr>
        <w:tab/>
        <w:t>: 2.956,958 tỷ đồng;</w:t>
      </w:r>
      <w:r w:rsidRPr="00F46DE3">
        <w:rPr>
          <w:rStyle w:val="fontstyle31"/>
        </w:rPr>
        <w:br/>
        <w:t>- Chi NS cấp xã</w:t>
      </w:r>
      <w:r w:rsidRPr="00F46DE3">
        <w:rPr>
          <w:rStyle w:val="fontstyle31"/>
        </w:rPr>
        <w:tab/>
        <w:t xml:space="preserve"> </w:t>
      </w:r>
      <w:r w:rsidRPr="00F46DE3">
        <w:rPr>
          <w:rStyle w:val="fontstyle31"/>
        </w:rPr>
        <w:tab/>
        <w:t>:    340,985 tỷ đồng;</w:t>
      </w:r>
    </w:p>
    <w:p w:rsidR="00292CD4" w:rsidRPr="00F46DE3" w:rsidRDefault="00292CD4" w:rsidP="00292CD4">
      <w:pPr>
        <w:spacing w:before="40" w:after="40"/>
        <w:ind w:firstLine="720"/>
        <w:rPr>
          <w:rStyle w:val="fontstyle01"/>
        </w:rPr>
      </w:pPr>
      <w:r w:rsidRPr="00F46DE3">
        <w:rPr>
          <w:rStyle w:val="fontstyle01"/>
        </w:rPr>
        <w:t>3.3. Kết dư ngân sách: 835,708 tỷ đồng.</w:t>
      </w:r>
    </w:p>
    <w:p w:rsidR="00292CD4" w:rsidRPr="00F46DE3" w:rsidRDefault="00292CD4" w:rsidP="00292CD4">
      <w:pPr>
        <w:spacing w:before="40" w:after="40"/>
        <w:ind w:left="1440"/>
        <w:rPr>
          <w:sz w:val="28"/>
          <w:szCs w:val="28"/>
        </w:rPr>
      </w:pPr>
      <w:r w:rsidRPr="00F46DE3">
        <w:rPr>
          <w:rStyle w:val="fontstyle31"/>
        </w:rPr>
        <w:t xml:space="preserve">- Cấp huyện </w:t>
      </w:r>
      <w:r w:rsidRPr="00F46DE3">
        <w:rPr>
          <w:rStyle w:val="fontstyle31"/>
        </w:rPr>
        <w:tab/>
      </w:r>
      <w:r w:rsidRPr="00F46DE3">
        <w:rPr>
          <w:rStyle w:val="fontstyle31"/>
        </w:rPr>
        <w:tab/>
      </w:r>
      <w:r w:rsidRPr="00F46DE3">
        <w:rPr>
          <w:sz w:val="28"/>
          <w:szCs w:val="28"/>
        </w:rPr>
        <w:tab/>
      </w:r>
      <w:r w:rsidRPr="00F46DE3">
        <w:rPr>
          <w:rStyle w:val="fontstyle31"/>
        </w:rPr>
        <w:t>:    744,926 tỷ đồng;</w:t>
      </w:r>
    </w:p>
    <w:p w:rsidR="00292CD4" w:rsidRDefault="00292CD4" w:rsidP="00292CD4">
      <w:pPr>
        <w:spacing w:before="40" w:after="40"/>
        <w:ind w:left="720" w:firstLine="720"/>
        <w:rPr>
          <w:rStyle w:val="fontstyle31"/>
        </w:rPr>
      </w:pPr>
      <w:r w:rsidRPr="00F46DE3">
        <w:rPr>
          <w:rStyle w:val="fontstyle31"/>
        </w:rPr>
        <w:t>- Cấp xã</w:t>
      </w:r>
      <w:r w:rsidRPr="00F46DE3">
        <w:rPr>
          <w:sz w:val="28"/>
          <w:szCs w:val="28"/>
        </w:rPr>
        <w:tab/>
      </w:r>
      <w:r w:rsidRPr="00F46DE3">
        <w:rPr>
          <w:sz w:val="28"/>
          <w:szCs w:val="28"/>
        </w:rPr>
        <w:tab/>
      </w:r>
      <w:r w:rsidRPr="00F46DE3">
        <w:rPr>
          <w:sz w:val="28"/>
          <w:szCs w:val="28"/>
        </w:rPr>
        <w:tab/>
      </w:r>
      <w:r w:rsidRPr="00F46DE3">
        <w:rPr>
          <w:rStyle w:val="fontstyle31"/>
        </w:rPr>
        <w:t>:      90,782 tỷ đồng;</w:t>
      </w:r>
    </w:p>
    <w:p w:rsidR="00292CD4" w:rsidRPr="00F46DE3" w:rsidRDefault="00292CD4" w:rsidP="00292CD4">
      <w:pPr>
        <w:spacing w:before="40" w:after="40"/>
        <w:ind w:left="720" w:firstLine="720"/>
        <w:rPr>
          <w:rStyle w:val="fontstyle31"/>
        </w:rPr>
      </w:pPr>
    </w:p>
    <w:p w:rsidR="008070FE" w:rsidRPr="008070FE" w:rsidRDefault="00292CD4" w:rsidP="00292CD4">
      <w:pPr>
        <w:spacing w:before="40" w:after="40"/>
        <w:rPr>
          <w:rStyle w:val="fontstyle31"/>
        </w:rPr>
      </w:pPr>
      <w:r w:rsidRPr="00F46DE3">
        <w:rPr>
          <w:rStyle w:val="fontstyle31"/>
          <w:b/>
          <w:bCs/>
        </w:rPr>
        <w:tab/>
      </w:r>
    </w:p>
    <w:p w:rsidR="00BE660D" w:rsidRPr="008070FE" w:rsidRDefault="0013751B" w:rsidP="008070FE">
      <w:pPr>
        <w:jc w:val="both"/>
        <w:rPr>
          <w:sz w:val="28"/>
          <w:szCs w:val="28"/>
        </w:rPr>
      </w:pPr>
    </w:p>
    <w:sectPr w:rsidR="00BE660D" w:rsidRPr="008070FE" w:rsidSect="008070F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D142A"/>
    <w:multiLevelType w:val="hybridMultilevel"/>
    <w:tmpl w:val="BF828ADC"/>
    <w:lvl w:ilvl="0" w:tplc="BD96BB06">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C473291"/>
    <w:multiLevelType w:val="hybridMultilevel"/>
    <w:tmpl w:val="7F600DC6"/>
    <w:lvl w:ilvl="0" w:tplc="DAA2F3F4">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C914E4"/>
    <w:multiLevelType w:val="hybridMultilevel"/>
    <w:tmpl w:val="7E064CFA"/>
    <w:lvl w:ilvl="0" w:tplc="C1C67D0A">
      <w:start w:val="1"/>
      <w:numFmt w:val="decimal"/>
      <w:lvlText w:val="%1."/>
      <w:lvlJc w:val="left"/>
      <w:pPr>
        <w:ind w:left="1080" w:hanging="360"/>
      </w:pPr>
      <w:rPr>
        <w:rFonts w:hint="default"/>
        <w:b/>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FE"/>
    <w:rsid w:val="0013751B"/>
    <w:rsid w:val="00292CD4"/>
    <w:rsid w:val="0032123F"/>
    <w:rsid w:val="003A562B"/>
    <w:rsid w:val="008070FE"/>
    <w:rsid w:val="008E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9108E-CF79-4B0A-9548-EB8FF2FC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0F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2CD4"/>
    <w:pPr>
      <w:keepNext/>
      <w:jc w:val="center"/>
      <w:outlineLvl w:val="0"/>
    </w:pPr>
    <w:rPr>
      <w:b/>
      <w:bCs/>
      <w:sz w:val="26"/>
    </w:rPr>
  </w:style>
  <w:style w:type="paragraph" w:styleId="Heading2">
    <w:name w:val="heading 2"/>
    <w:basedOn w:val="Normal"/>
    <w:next w:val="Normal"/>
    <w:link w:val="Heading2Char"/>
    <w:qFormat/>
    <w:rsid w:val="00292CD4"/>
    <w:pPr>
      <w:keepNext/>
      <w:ind w:firstLine="720"/>
      <w:jc w:val="both"/>
      <w:outlineLvl w:val="1"/>
    </w:pPr>
    <w:rPr>
      <w:b/>
      <w:bCs/>
      <w:sz w:val="26"/>
    </w:rPr>
  </w:style>
  <w:style w:type="paragraph" w:styleId="Heading4">
    <w:name w:val="heading 4"/>
    <w:basedOn w:val="Normal"/>
    <w:next w:val="Normal"/>
    <w:link w:val="Heading4Char"/>
    <w:qFormat/>
    <w:rsid w:val="00292CD4"/>
    <w:pPr>
      <w:keepNext/>
      <w:jc w:val="both"/>
      <w:outlineLvl w:val="3"/>
    </w:pPr>
    <w:rPr>
      <w:rFonts w:ascii=".VnTimeH" w:hAnsi=".VnTimeH"/>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
    <w:name w:val="Char Char Char Char Char Char Char Char Char"/>
    <w:basedOn w:val="Normal"/>
    <w:semiHidden/>
    <w:rsid w:val="008070FE"/>
    <w:pPr>
      <w:spacing w:after="160" w:line="240" w:lineRule="exact"/>
    </w:pPr>
    <w:rPr>
      <w:rFonts w:ascii="Arial" w:hAnsi="Arial"/>
      <w:sz w:val="22"/>
      <w:szCs w:val="22"/>
    </w:rPr>
  </w:style>
  <w:style w:type="character" w:customStyle="1" w:styleId="fontstyle01">
    <w:name w:val="fontstyle01"/>
    <w:rsid w:val="008070FE"/>
    <w:rPr>
      <w:rFonts w:ascii="Times New Roman" w:hAnsi="Times New Roman" w:cs="Times New Roman" w:hint="default"/>
      <w:b/>
      <w:bCs/>
      <w:i w:val="0"/>
      <w:iCs w:val="0"/>
      <w:color w:val="000000"/>
      <w:sz w:val="28"/>
      <w:szCs w:val="28"/>
    </w:rPr>
  </w:style>
  <w:style w:type="character" w:customStyle="1" w:styleId="fontstyle21">
    <w:name w:val="fontstyle21"/>
    <w:rsid w:val="008070FE"/>
    <w:rPr>
      <w:rFonts w:ascii="Times New Roman" w:hAnsi="Times New Roman" w:cs="Times New Roman" w:hint="default"/>
      <w:b w:val="0"/>
      <w:bCs w:val="0"/>
      <w:i/>
      <w:iCs/>
      <w:color w:val="000000"/>
      <w:sz w:val="28"/>
      <w:szCs w:val="28"/>
    </w:rPr>
  </w:style>
  <w:style w:type="character" w:customStyle="1" w:styleId="fontstyle31">
    <w:name w:val="fontstyle31"/>
    <w:rsid w:val="008070FE"/>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semiHidden/>
    <w:unhideWhenUsed/>
    <w:rsid w:val="00807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0FE"/>
    <w:rPr>
      <w:rFonts w:ascii="Segoe UI" w:eastAsia="Times New Roman" w:hAnsi="Segoe UI" w:cs="Segoe UI"/>
      <w:sz w:val="18"/>
      <w:szCs w:val="18"/>
    </w:rPr>
  </w:style>
  <w:style w:type="character" w:customStyle="1" w:styleId="Heading1Char">
    <w:name w:val="Heading 1 Char"/>
    <w:basedOn w:val="DefaultParagraphFont"/>
    <w:link w:val="Heading1"/>
    <w:rsid w:val="00292CD4"/>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sid w:val="00292CD4"/>
    <w:rPr>
      <w:rFonts w:ascii="Times New Roman" w:eastAsia="Times New Roman" w:hAnsi="Times New Roman" w:cs="Times New Roman"/>
      <w:b/>
      <w:bCs/>
      <w:sz w:val="26"/>
      <w:szCs w:val="24"/>
    </w:rPr>
  </w:style>
  <w:style w:type="character" w:customStyle="1" w:styleId="Heading4Char">
    <w:name w:val="Heading 4 Char"/>
    <w:basedOn w:val="DefaultParagraphFont"/>
    <w:link w:val="Heading4"/>
    <w:rsid w:val="00292CD4"/>
    <w:rPr>
      <w:rFonts w:ascii=".VnTimeH" w:eastAsia="Times New Roman" w:hAnsi=".VnTimeH" w:cs="Times New Roman"/>
      <w:sz w:val="26"/>
      <w:szCs w:val="20"/>
    </w:rPr>
  </w:style>
  <w:style w:type="paragraph" w:styleId="Footer">
    <w:name w:val="footer"/>
    <w:basedOn w:val="Normal"/>
    <w:link w:val="FooterChar"/>
    <w:uiPriority w:val="99"/>
    <w:rsid w:val="00292CD4"/>
    <w:pPr>
      <w:tabs>
        <w:tab w:val="center" w:pos="4320"/>
        <w:tab w:val="right" w:pos="8640"/>
      </w:tabs>
      <w:jc w:val="both"/>
    </w:pPr>
  </w:style>
  <w:style w:type="character" w:customStyle="1" w:styleId="FooterChar">
    <w:name w:val="Footer Char"/>
    <w:basedOn w:val="DefaultParagraphFont"/>
    <w:link w:val="Footer"/>
    <w:uiPriority w:val="99"/>
    <w:rsid w:val="00292CD4"/>
    <w:rPr>
      <w:rFonts w:ascii="Times New Roman" w:eastAsia="Times New Roman" w:hAnsi="Times New Roman" w:cs="Times New Roman"/>
      <w:sz w:val="24"/>
      <w:szCs w:val="24"/>
    </w:rPr>
  </w:style>
  <w:style w:type="character" w:styleId="PageNumber">
    <w:name w:val="page number"/>
    <w:basedOn w:val="DefaultParagraphFont"/>
    <w:rsid w:val="00292CD4"/>
  </w:style>
  <w:style w:type="paragraph" w:styleId="BodyText2">
    <w:name w:val="Body Text 2"/>
    <w:basedOn w:val="Normal"/>
    <w:link w:val="BodyText2Char"/>
    <w:rsid w:val="00292CD4"/>
    <w:pPr>
      <w:jc w:val="center"/>
    </w:pPr>
    <w:rPr>
      <w:sz w:val="26"/>
    </w:rPr>
  </w:style>
  <w:style w:type="character" w:customStyle="1" w:styleId="BodyText2Char">
    <w:name w:val="Body Text 2 Char"/>
    <w:basedOn w:val="DefaultParagraphFont"/>
    <w:link w:val="BodyText2"/>
    <w:rsid w:val="00292CD4"/>
    <w:rPr>
      <w:rFonts w:ascii="Times New Roman" w:eastAsia="Times New Roman" w:hAnsi="Times New Roman" w:cs="Times New Roman"/>
      <w:sz w:val="26"/>
      <w:szCs w:val="24"/>
    </w:rPr>
  </w:style>
  <w:style w:type="paragraph" w:styleId="BodyText3">
    <w:name w:val="Body Text 3"/>
    <w:basedOn w:val="Normal"/>
    <w:link w:val="BodyText3Char"/>
    <w:rsid w:val="00292CD4"/>
    <w:pPr>
      <w:jc w:val="both"/>
    </w:pPr>
    <w:rPr>
      <w:sz w:val="28"/>
      <w:szCs w:val="28"/>
    </w:rPr>
  </w:style>
  <w:style w:type="character" w:customStyle="1" w:styleId="BodyText3Char">
    <w:name w:val="Body Text 3 Char"/>
    <w:basedOn w:val="DefaultParagraphFont"/>
    <w:link w:val="BodyText3"/>
    <w:rsid w:val="00292CD4"/>
    <w:rPr>
      <w:rFonts w:ascii="Times New Roman" w:eastAsia="Times New Roman" w:hAnsi="Times New Roman" w:cs="Times New Roman"/>
      <w:sz w:val="28"/>
      <w:szCs w:val="28"/>
    </w:rPr>
  </w:style>
  <w:style w:type="paragraph" w:styleId="BodyTextIndent">
    <w:name w:val="Body Text Indent"/>
    <w:basedOn w:val="Normal"/>
    <w:link w:val="BodyTextIndentChar"/>
    <w:rsid w:val="00292CD4"/>
    <w:pPr>
      <w:ind w:firstLine="720"/>
      <w:jc w:val="both"/>
    </w:pPr>
    <w:rPr>
      <w:rFonts w:ascii="VNI-Times" w:hAnsi="VNI-Times"/>
      <w:sz w:val="26"/>
      <w:szCs w:val="20"/>
    </w:rPr>
  </w:style>
  <w:style w:type="character" w:customStyle="1" w:styleId="BodyTextIndentChar">
    <w:name w:val="Body Text Indent Char"/>
    <w:basedOn w:val="DefaultParagraphFont"/>
    <w:link w:val="BodyTextIndent"/>
    <w:rsid w:val="00292CD4"/>
    <w:rPr>
      <w:rFonts w:ascii="VNI-Times" w:eastAsia="Times New Roman" w:hAnsi="VNI-Times" w:cs="Times New Roman"/>
      <w:sz w:val="26"/>
      <w:szCs w:val="20"/>
    </w:rPr>
  </w:style>
  <w:style w:type="paragraph" w:styleId="BodyTextIndent2">
    <w:name w:val="Body Text Indent 2"/>
    <w:basedOn w:val="Normal"/>
    <w:link w:val="BodyTextIndent2Char"/>
    <w:rsid w:val="00292CD4"/>
    <w:pPr>
      <w:ind w:firstLine="720"/>
      <w:jc w:val="both"/>
    </w:pPr>
    <w:rPr>
      <w:sz w:val="28"/>
    </w:rPr>
  </w:style>
  <w:style w:type="character" w:customStyle="1" w:styleId="BodyTextIndent2Char">
    <w:name w:val="Body Text Indent 2 Char"/>
    <w:basedOn w:val="DefaultParagraphFont"/>
    <w:link w:val="BodyTextIndent2"/>
    <w:rsid w:val="00292CD4"/>
    <w:rPr>
      <w:rFonts w:ascii="Times New Roman" w:eastAsia="Times New Roman" w:hAnsi="Times New Roman" w:cs="Times New Roman"/>
      <w:sz w:val="28"/>
      <w:szCs w:val="24"/>
    </w:rPr>
  </w:style>
  <w:style w:type="paragraph" w:styleId="BodyTextIndent3">
    <w:name w:val="Body Text Indent 3"/>
    <w:basedOn w:val="Normal"/>
    <w:link w:val="BodyTextIndent3Char"/>
    <w:rsid w:val="00292CD4"/>
    <w:pPr>
      <w:ind w:firstLine="720"/>
      <w:jc w:val="both"/>
    </w:pPr>
    <w:rPr>
      <w:rFonts w:ascii="VNI-Times" w:hAnsi="VNI-Times"/>
      <w:color w:val="000000"/>
      <w:sz w:val="26"/>
      <w:szCs w:val="20"/>
    </w:rPr>
  </w:style>
  <w:style w:type="character" w:customStyle="1" w:styleId="BodyTextIndent3Char">
    <w:name w:val="Body Text Indent 3 Char"/>
    <w:basedOn w:val="DefaultParagraphFont"/>
    <w:link w:val="BodyTextIndent3"/>
    <w:rsid w:val="00292CD4"/>
    <w:rPr>
      <w:rFonts w:ascii="VNI-Times" w:eastAsia="Times New Roman" w:hAnsi="VNI-Times" w:cs="Times New Roman"/>
      <w:color w:val="000000"/>
      <w:sz w:val="26"/>
      <w:szCs w:val="20"/>
    </w:rPr>
  </w:style>
  <w:style w:type="paragraph" w:styleId="NormalWeb">
    <w:name w:val="Normal (Web)"/>
    <w:aliases w:val="Normal (Web) Char"/>
    <w:basedOn w:val="Normal"/>
    <w:link w:val="NormalWebChar1"/>
    <w:uiPriority w:val="99"/>
    <w:rsid w:val="00292CD4"/>
    <w:pPr>
      <w:spacing w:before="100" w:beforeAutospacing="1" w:after="100" w:afterAutospacing="1"/>
    </w:pPr>
  </w:style>
  <w:style w:type="paragraph" w:customStyle="1" w:styleId="CharCharCharCharCharCharCharCharChar0">
    <w:name w:val="Char Char Char Char Char Char Char Char Char"/>
    <w:basedOn w:val="Normal"/>
    <w:semiHidden/>
    <w:rsid w:val="00292CD4"/>
    <w:pPr>
      <w:spacing w:after="160" w:line="240" w:lineRule="exact"/>
    </w:pPr>
    <w:rPr>
      <w:rFonts w:ascii="Arial" w:hAnsi="Arial"/>
      <w:sz w:val="22"/>
      <w:szCs w:val="22"/>
    </w:rPr>
  </w:style>
  <w:style w:type="character" w:customStyle="1" w:styleId="normal-h1">
    <w:name w:val="normal-h1"/>
    <w:rsid w:val="00292CD4"/>
    <w:rPr>
      <w:rFonts w:ascii="Times New Roman" w:hAnsi="Times New Roman" w:cs="Times New Roman" w:hint="default"/>
      <w:sz w:val="24"/>
      <w:szCs w:val="24"/>
    </w:rPr>
  </w:style>
  <w:style w:type="paragraph" w:customStyle="1" w:styleId="Char">
    <w:name w:val="Char"/>
    <w:basedOn w:val="Normal"/>
    <w:rsid w:val="00292CD4"/>
    <w:pPr>
      <w:pageBreakBefore/>
      <w:spacing w:before="100" w:beforeAutospacing="1" w:after="100" w:afterAutospacing="1"/>
      <w:jc w:val="both"/>
    </w:pPr>
    <w:rPr>
      <w:rFonts w:ascii="Tahoma" w:hAnsi="Tahoma"/>
      <w:sz w:val="20"/>
      <w:szCs w:val="20"/>
    </w:rPr>
  </w:style>
  <w:style w:type="paragraph" w:styleId="Subtitle">
    <w:name w:val="Subtitle"/>
    <w:basedOn w:val="Normal"/>
    <w:link w:val="SubtitleChar"/>
    <w:qFormat/>
    <w:rsid w:val="00292CD4"/>
    <w:pPr>
      <w:jc w:val="center"/>
    </w:pPr>
    <w:rPr>
      <w:b/>
      <w:bCs/>
      <w:sz w:val="28"/>
      <w:szCs w:val="20"/>
    </w:rPr>
  </w:style>
  <w:style w:type="character" w:customStyle="1" w:styleId="SubtitleChar">
    <w:name w:val="Subtitle Char"/>
    <w:basedOn w:val="DefaultParagraphFont"/>
    <w:link w:val="Subtitle"/>
    <w:rsid w:val="00292CD4"/>
    <w:rPr>
      <w:rFonts w:ascii="Times New Roman" w:eastAsia="Times New Roman" w:hAnsi="Times New Roman" w:cs="Times New Roman"/>
      <w:b/>
      <w:bCs/>
      <w:sz w:val="28"/>
      <w:szCs w:val="20"/>
    </w:rPr>
  </w:style>
  <w:style w:type="paragraph" w:styleId="Header">
    <w:name w:val="header"/>
    <w:basedOn w:val="Normal"/>
    <w:link w:val="HeaderChar"/>
    <w:uiPriority w:val="99"/>
    <w:rsid w:val="00292CD4"/>
    <w:pPr>
      <w:tabs>
        <w:tab w:val="center" w:pos="4320"/>
        <w:tab w:val="right" w:pos="8640"/>
      </w:tabs>
    </w:pPr>
  </w:style>
  <w:style w:type="character" w:customStyle="1" w:styleId="HeaderChar">
    <w:name w:val="Header Char"/>
    <w:basedOn w:val="DefaultParagraphFont"/>
    <w:link w:val="Header"/>
    <w:uiPriority w:val="99"/>
    <w:rsid w:val="00292CD4"/>
    <w:rPr>
      <w:rFonts w:ascii="Times New Roman" w:eastAsia="Times New Roman" w:hAnsi="Times New Roman" w:cs="Times New Roman"/>
      <w:sz w:val="24"/>
      <w:szCs w:val="24"/>
    </w:rPr>
  </w:style>
  <w:style w:type="paragraph" w:customStyle="1" w:styleId="Char1">
    <w:name w:val="Char1"/>
    <w:autoRedefine/>
    <w:rsid w:val="00292CD4"/>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292CD4"/>
    <w:pPr>
      <w:spacing w:after="160" w:line="240" w:lineRule="exact"/>
    </w:pPr>
    <w:rPr>
      <w:rFonts w:ascii="Verdana" w:hAnsi="Verdana"/>
      <w:sz w:val="20"/>
      <w:szCs w:val="20"/>
    </w:rPr>
  </w:style>
  <w:style w:type="paragraph" w:customStyle="1" w:styleId="CharCharCharCharCharCharChar">
    <w:name w:val="Char Char Char Char Char Char Char"/>
    <w:basedOn w:val="Normal"/>
    <w:rsid w:val="00292CD4"/>
    <w:pPr>
      <w:spacing w:after="160" w:line="240" w:lineRule="exact"/>
    </w:pPr>
    <w:rPr>
      <w:rFonts w:ascii="Tahoma" w:eastAsia="PMingLiU" w:hAnsi="Tahoma"/>
      <w:sz w:val="20"/>
      <w:szCs w:val="20"/>
    </w:rPr>
  </w:style>
  <w:style w:type="paragraph" w:customStyle="1" w:styleId="heading4-p">
    <w:name w:val="heading4-p"/>
    <w:basedOn w:val="Normal"/>
    <w:rsid w:val="00292CD4"/>
    <w:pPr>
      <w:jc w:val="center"/>
    </w:pPr>
    <w:rPr>
      <w:sz w:val="20"/>
      <w:szCs w:val="20"/>
    </w:rPr>
  </w:style>
  <w:style w:type="character" w:customStyle="1" w:styleId="CharChar3">
    <w:name w:val="Char Char3"/>
    <w:semiHidden/>
    <w:locked/>
    <w:rsid w:val="00292CD4"/>
    <w:rPr>
      <w:rFonts w:ascii="VNI-Times" w:hAnsi="VNI-Times"/>
      <w:b/>
      <w:bCs/>
      <w:sz w:val="28"/>
      <w:szCs w:val="24"/>
      <w:lang w:val="en-US" w:eastAsia="en-US" w:bidi="ar-SA"/>
    </w:rPr>
  </w:style>
  <w:style w:type="character" w:customStyle="1" w:styleId="apple-style-span">
    <w:name w:val="apple-style-span"/>
    <w:basedOn w:val="DefaultParagraphFont"/>
    <w:rsid w:val="00292CD4"/>
  </w:style>
  <w:style w:type="character" w:customStyle="1" w:styleId="CharChar1">
    <w:name w:val="Char Char1"/>
    <w:rsid w:val="00292CD4"/>
    <w:rPr>
      <w:rFonts w:ascii="VNI-Times" w:hAnsi="VNI-Times"/>
      <w:b/>
      <w:bCs/>
      <w:sz w:val="28"/>
      <w:szCs w:val="24"/>
    </w:rPr>
  </w:style>
  <w:style w:type="paragraph" w:customStyle="1" w:styleId="CharCharCharCharCharCharChar0">
    <w:name w:val="Char Char Char Char Char Char Char"/>
    <w:basedOn w:val="Normal"/>
    <w:rsid w:val="00292CD4"/>
    <w:pPr>
      <w:spacing w:after="160" w:line="240" w:lineRule="exact"/>
    </w:pPr>
    <w:rPr>
      <w:rFonts w:ascii="Tahoma" w:eastAsia="PMingLiU" w:hAnsi="Tahoma"/>
      <w:sz w:val="20"/>
      <w:szCs w:val="20"/>
    </w:rPr>
  </w:style>
  <w:style w:type="paragraph" w:styleId="BodyText">
    <w:name w:val="Body Text"/>
    <w:basedOn w:val="Normal"/>
    <w:link w:val="BodyTextChar"/>
    <w:rsid w:val="00292CD4"/>
    <w:pPr>
      <w:spacing w:after="120"/>
    </w:pPr>
  </w:style>
  <w:style w:type="character" w:customStyle="1" w:styleId="BodyTextChar">
    <w:name w:val="Body Text Char"/>
    <w:basedOn w:val="DefaultParagraphFont"/>
    <w:link w:val="BodyText"/>
    <w:rsid w:val="00292CD4"/>
    <w:rPr>
      <w:rFonts w:ascii="Times New Roman" w:eastAsia="Times New Roman" w:hAnsi="Times New Roman" w:cs="Times New Roman"/>
      <w:sz w:val="24"/>
      <w:szCs w:val="24"/>
    </w:rPr>
  </w:style>
  <w:style w:type="paragraph" w:customStyle="1" w:styleId="Char0">
    <w:name w:val="Char"/>
    <w:basedOn w:val="Normal"/>
    <w:rsid w:val="00292CD4"/>
    <w:pPr>
      <w:spacing w:after="160" w:line="240" w:lineRule="exact"/>
    </w:pPr>
    <w:rPr>
      <w:rFonts w:ascii="Arial" w:hAnsi="Arial" w:cs="Arial"/>
      <w:sz w:val="20"/>
      <w:szCs w:val="20"/>
    </w:rPr>
  </w:style>
  <w:style w:type="paragraph" w:customStyle="1" w:styleId="CharChar7">
    <w:name w:val="Char Char7"/>
    <w:basedOn w:val="Normal"/>
    <w:rsid w:val="00292CD4"/>
    <w:pPr>
      <w:spacing w:after="160" w:line="240" w:lineRule="exact"/>
    </w:pPr>
    <w:rPr>
      <w:rFonts w:ascii="Verdana" w:hAnsi="Verdana"/>
      <w:sz w:val="20"/>
      <w:szCs w:val="20"/>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Normal"/>
    <w:rsid w:val="00292CD4"/>
    <w:pPr>
      <w:spacing w:after="160" w:line="240" w:lineRule="exact"/>
    </w:pPr>
    <w:rPr>
      <w:rFonts w:ascii="Tahoma" w:eastAsia="PMingLiU" w:hAnsi="Tahoma"/>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ft"/>
    <w:basedOn w:val="Normal"/>
    <w:link w:val="FootnoteTextChar"/>
    <w:qFormat/>
    <w:rsid w:val="00292CD4"/>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292CD4"/>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f1,BVI,f11"/>
    <w:qFormat/>
    <w:rsid w:val="00292CD4"/>
    <w:rPr>
      <w:vertAlign w:val="superscript"/>
    </w:rPr>
  </w:style>
  <w:style w:type="paragraph" w:customStyle="1" w:styleId="Char1CharCharChar">
    <w:name w:val="Char1 Char Char Char"/>
    <w:basedOn w:val="Normal"/>
    <w:rsid w:val="00292CD4"/>
    <w:pPr>
      <w:spacing w:after="160" w:line="240" w:lineRule="exact"/>
    </w:pPr>
    <w:rPr>
      <w:rFonts w:ascii="Verdana" w:hAnsi="Verdana"/>
      <w:sz w:val="20"/>
      <w:szCs w:val="20"/>
    </w:rPr>
  </w:style>
  <w:style w:type="character" w:customStyle="1" w:styleId="apple-converted-space">
    <w:name w:val="apple-converted-space"/>
    <w:rsid w:val="00292CD4"/>
  </w:style>
  <w:style w:type="paragraph" w:customStyle="1" w:styleId="NormalTimesNewRoman">
    <w:name w:val="Normal + Times New Roman"/>
    <w:aliases w:val="14 pt,Justified,Left:  0,5&quot;,First line:  0,39&quot;,...,Normal + 14 pt,Bold,Centered,First line:  9,5 mm,First line:  10 mm,Before:  6 pt"/>
    <w:basedOn w:val="Normal"/>
    <w:link w:val="NormalTimesNewRomanChar"/>
    <w:rsid w:val="00292CD4"/>
    <w:pPr>
      <w:ind w:left="720" w:firstLine="567"/>
      <w:jc w:val="both"/>
    </w:pPr>
    <w:rPr>
      <w:position w:val="8"/>
      <w:sz w:val="28"/>
      <w:szCs w:val="28"/>
      <w:lang w:val="nl-NL"/>
    </w:rPr>
  </w:style>
  <w:style w:type="character" w:customStyle="1" w:styleId="NormalTimesNewRomanChar">
    <w:name w:val="Normal + Times New Roman Char"/>
    <w:aliases w:val="14 pt Char,Justified Char,Left:  0 Char,5&quot; Char,First line:  0 Char,39&quot; Char,... Char,39&quot; Char Char Char,39&quot; Char Char"/>
    <w:link w:val="NormalTimesNewRoman"/>
    <w:rsid w:val="00292CD4"/>
    <w:rPr>
      <w:rFonts w:ascii="Times New Roman" w:eastAsia="Times New Roman" w:hAnsi="Times New Roman" w:cs="Times New Roman"/>
      <w:position w:val="8"/>
      <w:sz w:val="28"/>
      <w:szCs w:val="28"/>
      <w:lang w:val="nl-NL"/>
    </w:rPr>
  </w:style>
  <w:style w:type="character" w:customStyle="1" w:styleId="NormalWebChar1">
    <w:name w:val="Normal (Web) Char1"/>
    <w:aliases w:val="Normal (Web) Char Char"/>
    <w:link w:val="NormalWeb"/>
    <w:uiPriority w:val="99"/>
    <w:locked/>
    <w:rsid w:val="00292CD4"/>
    <w:rPr>
      <w:rFonts w:ascii="Times New Roman" w:eastAsia="Times New Roman" w:hAnsi="Times New Roman" w:cs="Times New Roman"/>
      <w:sz w:val="24"/>
      <w:szCs w:val="24"/>
    </w:rPr>
  </w:style>
  <w:style w:type="table" w:styleId="TableGrid">
    <w:name w:val="Table Grid"/>
    <w:basedOn w:val="TableNormal"/>
    <w:uiPriority w:val="59"/>
    <w:rsid w:val="00292CD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1">
    <w:name w:val="fontstyle41"/>
    <w:rsid w:val="00292CD4"/>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cp:lastPrinted>2024-01-04T07:43:00Z</cp:lastPrinted>
  <dcterms:created xsi:type="dcterms:W3CDTF">2024-01-04T07:39:00Z</dcterms:created>
  <dcterms:modified xsi:type="dcterms:W3CDTF">2024-10-28T07:27:00Z</dcterms:modified>
</cp:coreProperties>
</file>